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F7664" w14:textId="77777777" w:rsidR="007B65ED" w:rsidRDefault="007B65ED" w:rsidP="007B65ED">
      <w:pPr>
        <w:pStyle w:val="PartDes"/>
        <w:jc w:val="left"/>
      </w:pPr>
      <w:r w:rsidRPr="00135A31">
        <w:rPr>
          <w:noProof/>
          <w:lang w:eastAsia="en-GB"/>
        </w:rPr>
        <w:drawing>
          <wp:inline distT="0" distB="0" distL="0" distR="0" wp14:anchorId="42ACF5A3" wp14:editId="00585925">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2A6DD98F" w14:textId="77777777" w:rsidR="007B65ED" w:rsidRPr="00776FB8" w:rsidRDefault="007B65ED" w:rsidP="007B65ED">
      <w:pPr>
        <w:pStyle w:val="PartDes"/>
        <w:jc w:val="left"/>
      </w:pPr>
    </w:p>
    <w:p w14:paraId="534006E9" w14:textId="77777777" w:rsidR="007B65ED" w:rsidRPr="001C6E3D" w:rsidRDefault="001C6E3D" w:rsidP="001C6E3D">
      <w:pPr>
        <w:pStyle w:val="Heading1"/>
        <w:numPr>
          <w:ilvl w:val="0"/>
          <w:numId w:val="0"/>
        </w:numPr>
        <w:spacing w:after="0"/>
        <w:jc w:val="left"/>
        <w:rPr>
          <w:rFonts w:ascii="Calibri" w:hAnsi="Calibri"/>
          <w:sz w:val="32"/>
        </w:rPr>
      </w:pPr>
      <w:r>
        <w:rPr>
          <w:rFonts w:ascii="Calibri" w:hAnsi="Calibri"/>
          <w:sz w:val="32"/>
        </w:rPr>
        <w:t>Banking services agreement</w:t>
      </w:r>
    </w:p>
    <w:p w14:paraId="5A55E8D1" w14:textId="77777777" w:rsidR="007B65ED" w:rsidRDefault="007B65ED" w:rsidP="007B65ED">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86080BC" wp14:editId="09379128">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w:pict>
              <v:line w14:anchorId="1C4C4F19"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2CD18167" w14:textId="77777777" w:rsidR="007B65ED" w:rsidRDefault="007B65ED" w:rsidP="007B65ED">
      <w:pPr>
        <w:pStyle w:val="PartDes"/>
        <w:rPr>
          <w:rFonts w:ascii="Calibri Light" w:hAnsi="Calibri Light"/>
          <w:b w:val="0"/>
          <w:sz w:val="56"/>
        </w:rPr>
      </w:pPr>
    </w:p>
    <w:p w14:paraId="7C5E2056" w14:textId="3DCEF4F4" w:rsidR="007B65ED" w:rsidRDefault="007B65ED" w:rsidP="007B65ED">
      <w:pPr>
        <w:pStyle w:val="PartDes"/>
        <w:jc w:val="both"/>
        <w:rPr>
          <w:rFonts w:ascii="Calibri Light" w:hAnsi="Calibri Light"/>
          <w:b w:val="0"/>
          <w:sz w:val="56"/>
        </w:rPr>
      </w:pPr>
      <w:r>
        <w:rPr>
          <w:rFonts w:ascii="Calibri Light" w:hAnsi="Calibri Light"/>
          <w:b w:val="0"/>
          <w:sz w:val="56"/>
        </w:rPr>
        <w:t>SCHEDULE 2.1 | Services Description</w:t>
      </w:r>
    </w:p>
    <w:p w14:paraId="479818AB" w14:textId="22BC0B4E" w:rsidR="00711CD8" w:rsidRPr="00711CD8" w:rsidRDefault="00711CD8" w:rsidP="007B65ED">
      <w:pPr>
        <w:pStyle w:val="PartDes"/>
        <w:jc w:val="both"/>
        <w:rPr>
          <w:rFonts w:ascii="Calibri Light" w:hAnsi="Calibri Light"/>
          <w:b w:val="0"/>
          <w:sz w:val="32"/>
          <w:szCs w:val="32"/>
        </w:rPr>
      </w:pPr>
      <w:r w:rsidRPr="00711CD8">
        <w:rPr>
          <w:rFonts w:ascii="Calibri Light" w:hAnsi="Calibri Light"/>
          <w:b w:val="0"/>
          <w:sz w:val="32"/>
          <w:szCs w:val="32"/>
        </w:rPr>
        <w:t xml:space="preserve">Government Banking Money Transmission Services – House Bank </w:t>
      </w:r>
      <w:r w:rsidR="00AB15F4">
        <w:rPr>
          <w:rFonts w:ascii="Calibri Light" w:hAnsi="Calibri Light"/>
          <w:b w:val="0"/>
          <w:sz w:val="32"/>
          <w:szCs w:val="32"/>
        </w:rPr>
        <w:t>2</w:t>
      </w:r>
    </w:p>
    <w:p w14:paraId="420B6DDE" w14:textId="5B5D0F3B" w:rsidR="007B65ED" w:rsidRPr="00B91311" w:rsidRDefault="007B65ED" w:rsidP="00B91311">
      <w:pPr>
        <w:spacing w:after="120" w:line="240" w:lineRule="atLeast"/>
        <w:ind w:left="0"/>
        <w:rPr>
          <w:rFonts w:asciiTheme="minorHAnsi" w:hAnsiTheme="minorHAnsi" w:cstheme="minorHAnsi"/>
          <w:sz w:val="24"/>
          <w:szCs w:val="24"/>
          <w:highlight w:val="yellow"/>
        </w:rPr>
      </w:pPr>
    </w:p>
    <w:p w14:paraId="4B82A368" w14:textId="77777777" w:rsidR="007B65ED" w:rsidRDefault="007B65ED" w:rsidP="007B65ED">
      <w:pPr>
        <w:spacing w:after="120" w:line="240" w:lineRule="atLeast"/>
      </w:pPr>
    </w:p>
    <w:p w14:paraId="6DC3AABD" w14:textId="77777777" w:rsidR="00180A29" w:rsidRPr="007B65ED" w:rsidRDefault="00180A29" w:rsidP="007B65ED">
      <w:pPr>
        <w:ind w:left="0"/>
        <w:jc w:val="left"/>
        <w:rPr>
          <w:rFonts w:ascii="Calibri" w:hAnsi="Calibri"/>
        </w:rPr>
      </w:pPr>
    </w:p>
    <w:p w14:paraId="067A0C53" w14:textId="2D0E736F" w:rsidR="00180A29" w:rsidRDefault="00C8116E">
      <w:pPr>
        <w:spacing w:after="0"/>
        <w:jc w:val="left"/>
        <w:rPr>
          <w:rFonts w:asciiTheme="minorHAnsi" w:hAnsiTheme="minorHAnsi"/>
          <w:b/>
          <w:bCs/>
          <w:sz w:val="24"/>
        </w:rPr>
      </w:pPr>
      <w:r w:rsidRPr="007B65ED">
        <w:rPr>
          <w:rFonts w:asciiTheme="minorHAnsi" w:hAnsiTheme="minorHAnsi"/>
          <w:b/>
          <w:bCs/>
          <w:sz w:val="24"/>
        </w:rPr>
        <w:br w:type="page"/>
      </w:r>
    </w:p>
    <w:p w14:paraId="133782C7" w14:textId="77777777" w:rsidR="007D070C" w:rsidRPr="007B65ED" w:rsidRDefault="007D070C">
      <w:pPr>
        <w:spacing w:after="0"/>
        <w:jc w:val="left"/>
        <w:rPr>
          <w:rFonts w:asciiTheme="minorHAnsi" w:hAnsiTheme="minorHAnsi"/>
          <w:b/>
          <w:bCs/>
          <w:sz w:val="24"/>
        </w:rPr>
      </w:pPr>
    </w:p>
    <w:p w14:paraId="53A0CFBA" w14:textId="77777777" w:rsidR="00180A29" w:rsidRPr="007B65ED" w:rsidRDefault="00B67812" w:rsidP="007B65ED">
      <w:pPr>
        <w:pStyle w:val="MarginText"/>
        <w:keepNext/>
        <w:ind w:left="0"/>
        <w:jc w:val="left"/>
        <w:rPr>
          <w:rFonts w:asciiTheme="majorHAnsi" w:hAnsiTheme="majorHAnsi"/>
          <w:b/>
          <w:bCs/>
          <w:sz w:val="32"/>
        </w:rPr>
      </w:pPr>
      <w:r>
        <w:rPr>
          <w:rFonts w:asciiTheme="majorHAnsi" w:hAnsiTheme="majorHAnsi"/>
          <w:b/>
          <w:bCs/>
          <w:sz w:val="32"/>
        </w:rPr>
        <w:t xml:space="preserve">Schedule 2.1 | </w:t>
      </w:r>
      <w:r w:rsidR="00C8116E" w:rsidRPr="007B65ED">
        <w:rPr>
          <w:rFonts w:asciiTheme="majorHAnsi" w:hAnsiTheme="majorHAnsi"/>
          <w:b/>
          <w:bCs/>
          <w:sz w:val="32"/>
        </w:rPr>
        <w:t>Services Description</w:t>
      </w:r>
    </w:p>
    <w:p w14:paraId="5AB40EA7" w14:textId="77777777" w:rsidR="00EF50B3" w:rsidRDefault="00EF50B3" w:rsidP="00EF50B3">
      <w:pPr>
        <w:pStyle w:val="Heading2"/>
        <w:numPr>
          <w:ilvl w:val="0"/>
          <w:numId w:val="0"/>
        </w:numPr>
        <w:spacing w:after="0"/>
        <w:ind w:left="709"/>
        <w:rPr>
          <w:rFonts w:asciiTheme="minorHAnsi" w:hAnsiTheme="minorHAnsi"/>
          <w:sz w:val="24"/>
        </w:rPr>
      </w:pPr>
    </w:p>
    <w:p w14:paraId="34D89456" w14:textId="0D10DB27" w:rsidR="00180A29" w:rsidRPr="007B65ED" w:rsidRDefault="00C8116E">
      <w:pPr>
        <w:pStyle w:val="Heading2"/>
        <w:rPr>
          <w:rFonts w:asciiTheme="minorHAnsi" w:hAnsiTheme="minorHAnsi"/>
          <w:sz w:val="24"/>
        </w:rPr>
      </w:pPr>
      <w:r w:rsidRPr="007B65ED">
        <w:rPr>
          <w:rFonts w:asciiTheme="minorHAnsi" w:hAnsiTheme="minorHAnsi"/>
          <w:sz w:val="24"/>
        </w:rPr>
        <w:t>INTRODUCTION</w:t>
      </w:r>
    </w:p>
    <w:p w14:paraId="73BF8A12" w14:textId="0E0606BE" w:rsidR="00180A29" w:rsidRPr="004270A9" w:rsidRDefault="00464C22">
      <w:pPr>
        <w:pStyle w:val="Heading3"/>
        <w:rPr>
          <w:rFonts w:asciiTheme="minorHAnsi" w:hAnsiTheme="minorHAnsi" w:cstheme="minorHAnsi"/>
          <w:sz w:val="24"/>
          <w:szCs w:val="24"/>
        </w:rPr>
      </w:pPr>
      <w:r w:rsidRPr="004270A9">
        <w:rPr>
          <w:rFonts w:asciiTheme="minorHAnsi" w:hAnsiTheme="minorHAnsi" w:cstheme="minorHAnsi"/>
          <w:sz w:val="24"/>
          <w:szCs w:val="24"/>
        </w:rPr>
        <w:t xml:space="preserve">Government Banking (GB) sits within HMRC and is the banking shared service provider to Government and the wider public sector, providing banking services to over 600 organisations. The requirement is to deliver the direct-to-bank model and facilitate payments in and out of Government, Government Banking contracts with commercial banks through the ‘Money Transmission Services’ (MTS) contract. </w:t>
      </w:r>
    </w:p>
    <w:p w14:paraId="1620C4C9" w14:textId="77777777" w:rsidR="00180A29" w:rsidRPr="007B65ED" w:rsidRDefault="00C8116E">
      <w:pPr>
        <w:pStyle w:val="Heading3"/>
        <w:rPr>
          <w:rFonts w:asciiTheme="minorHAnsi" w:hAnsiTheme="minorHAnsi"/>
          <w:sz w:val="24"/>
        </w:rPr>
      </w:pPr>
      <w:r w:rsidRPr="007B65ED">
        <w:rPr>
          <w:rFonts w:asciiTheme="minorHAnsi" w:hAnsiTheme="minorHAnsi"/>
          <w:sz w:val="24"/>
        </w:rPr>
        <w:t>This Schedule sets out the intended scope of the Services to be provided by the Supplier and provide</w:t>
      </w:r>
      <w:r w:rsidR="001C6E3D">
        <w:rPr>
          <w:rFonts w:asciiTheme="minorHAnsi" w:hAnsiTheme="minorHAnsi"/>
          <w:sz w:val="24"/>
        </w:rPr>
        <w:t>s</w:t>
      </w:r>
      <w:r w:rsidRPr="007B65ED">
        <w:rPr>
          <w:rFonts w:asciiTheme="minorHAnsi" w:hAnsiTheme="minorHAnsi"/>
          <w:sz w:val="24"/>
        </w:rPr>
        <w:t xml:space="preserve"> a description of what each Service entails.</w:t>
      </w:r>
    </w:p>
    <w:p w14:paraId="022A0A65" w14:textId="77777777" w:rsidR="00180A29" w:rsidRPr="007B65ED" w:rsidRDefault="00C8116E">
      <w:pPr>
        <w:pStyle w:val="Heading2"/>
        <w:rPr>
          <w:rFonts w:asciiTheme="minorHAnsi" w:hAnsiTheme="minorHAnsi"/>
          <w:sz w:val="24"/>
        </w:rPr>
      </w:pPr>
      <w:r w:rsidRPr="007B65ED">
        <w:rPr>
          <w:rFonts w:asciiTheme="minorHAnsi" w:hAnsiTheme="minorHAnsi"/>
          <w:sz w:val="24"/>
        </w:rPr>
        <w:t>SERVICES DESCRIPTION</w:t>
      </w:r>
    </w:p>
    <w:p w14:paraId="1A30F581" w14:textId="54539F61" w:rsidR="00C7772A" w:rsidRPr="004270A9" w:rsidRDefault="00C8116E" w:rsidP="004270A9">
      <w:pPr>
        <w:rPr>
          <w:rFonts w:ascii="Calibri" w:hAnsi="Calibri" w:cs="Calibri"/>
          <w:b/>
          <w:sz w:val="24"/>
          <w:szCs w:val="24"/>
          <w:highlight w:val="yellow"/>
        </w:rPr>
      </w:pPr>
      <w:r w:rsidRPr="00711CD8">
        <w:rPr>
          <w:rFonts w:asciiTheme="minorHAnsi" w:hAnsiTheme="minorHAnsi"/>
          <w:b/>
          <w:sz w:val="24"/>
        </w:rPr>
        <w:t xml:space="preserve">Transition - </w:t>
      </w:r>
      <w:r w:rsidR="00C7772A" w:rsidRPr="00711CD8">
        <w:rPr>
          <w:rFonts w:ascii="Calibri" w:hAnsi="Calibri" w:cs="Calibri"/>
          <w:sz w:val="24"/>
          <w:szCs w:val="24"/>
        </w:rPr>
        <w:t>Should</w:t>
      </w:r>
      <w:r w:rsidR="00C7772A" w:rsidRPr="004270A9">
        <w:rPr>
          <w:rFonts w:ascii="Calibri" w:hAnsi="Calibri" w:cs="Calibri"/>
          <w:sz w:val="24"/>
          <w:szCs w:val="24"/>
        </w:rPr>
        <w:t xml:space="preserve"> there be a change of supplier GB expects any Transition </w:t>
      </w:r>
      <w:r w:rsidR="00711CD8">
        <w:rPr>
          <w:rFonts w:ascii="Calibri" w:hAnsi="Calibri" w:cs="Calibri"/>
          <w:sz w:val="24"/>
          <w:szCs w:val="24"/>
        </w:rPr>
        <w:t xml:space="preserve">is </w:t>
      </w:r>
      <w:r w:rsidR="00C7772A" w:rsidRPr="004270A9">
        <w:rPr>
          <w:rFonts w:ascii="Calibri" w:hAnsi="Calibri" w:cs="Calibri"/>
          <w:sz w:val="24"/>
          <w:szCs w:val="24"/>
        </w:rPr>
        <w:t xml:space="preserve">to be carried out using a phased approach. </w:t>
      </w:r>
    </w:p>
    <w:p w14:paraId="028959D9" w14:textId="77777777" w:rsidR="00C7772A" w:rsidRPr="004270A9" w:rsidRDefault="00C7772A" w:rsidP="004270A9">
      <w:pPr>
        <w:rPr>
          <w:rFonts w:ascii="Calibri" w:hAnsi="Calibri" w:cs="Calibri"/>
          <w:sz w:val="24"/>
          <w:szCs w:val="24"/>
        </w:rPr>
      </w:pPr>
      <w:r w:rsidRPr="004270A9">
        <w:rPr>
          <w:rFonts w:ascii="Calibri" w:hAnsi="Calibri" w:cs="Calibri"/>
          <w:sz w:val="24"/>
          <w:szCs w:val="24"/>
        </w:rPr>
        <w:t xml:space="preserve">Service Recipients will be divided into tranches according to the complexity of their Transition. The tranches expected are: </w:t>
      </w:r>
    </w:p>
    <w:p w14:paraId="7D4D96C4" w14:textId="3D9565D5" w:rsidR="00C7772A" w:rsidRPr="004270A9" w:rsidRDefault="00C7772A" w:rsidP="00711CD8">
      <w:pPr>
        <w:ind w:left="1440"/>
        <w:rPr>
          <w:rFonts w:ascii="Calibri" w:hAnsi="Calibri" w:cs="Calibri"/>
          <w:sz w:val="24"/>
          <w:szCs w:val="24"/>
        </w:rPr>
      </w:pPr>
      <w:r w:rsidRPr="004270A9">
        <w:rPr>
          <w:rFonts w:ascii="Calibri" w:hAnsi="Calibri" w:cs="Calibri"/>
          <w:sz w:val="24"/>
          <w:szCs w:val="24"/>
        </w:rPr>
        <w:t xml:space="preserve">a) Government Banking – GB transition will be required before the Service Recipients to put in place the structure of the Government Banking Model. </w:t>
      </w:r>
    </w:p>
    <w:p w14:paraId="55FEDF37" w14:textId="77777777" w:rsidR="00C7772A" w:rsidRPr="004270A9" w:rsidRDefault="00C7772A" w:rsidP="00711CD8">
      <w:pPr>
        <w:ind w:left="1440"/>
        <w:rPr>
          <w:rFonts w:ascii="Calibri" w:hAnsi="Calibri" w:cs="Calibri"/>
          <w:sz w:val="24"/>
          <w:szCs w:val="24"/>
        </w:rPr>
      </w:pPr>
      <w:r w:rsidRPr="004270A9">
        <w:rPr>
          <w:rFonts w:ascii="Calibri" w:hAnsi="Calibri" w:cs="Calibri"/>
          <w:sz w:val="24"/>
          <w:szCs w:val="24"/>
        </w:rPr>
        <w:t xml:space="preserve">b) Low Complexity – Service Recipients who use standard banking products and services. </w:t>
      </w:r>
    </w:p>
    <w:p w14:paraId="26D13B81" w14:textId="77777777" w:rsidR="00C7772A" w:rsidRPr="004270A9" w:rsidRDefault="00C7772A" w:rsidP="00711CD8">
      <w:pPr>
        <w:ind w:left="1440"/>
        <w:rPr>
          <w:rFonts w:ascii="Calibri" w:hAnsi="Calibri" w:cs="Calibri"/>
          <w:sz w:val="24"/>
          <w:szCs w:val="24"/>
        </w:rPr>
      </w:pPr>
      <w:r w:rsidRPr="004270A9">
        <w:rPr>
          <w:rFonts w:ascii="Calibri" w:hAnsi="Calibri" w:cs="Calibri"/>
          <w:sz w:val="24"/>
          <w:szCs w:val="24"/>
        </w:rPr>
        <w:t xml:space="preserve">c) Medium Complexity – Service Recipients who use standard banking products and services but in higher volumes. Some will have many users, potentially over multiple sites, others will have shared service providers acting for them. </w:t>
      </w:r>
    </w:p>
    <w:p w14:paraId="2EE87499" w14:textId="65FE2AEA" w:rsidR="00C7772A" w:rsidRPr="004270A9" w:rsidRDefault="00C7772A" w:rsidP="00711CD8">
      <w:pPr>
        <w:ind w:left="1440"/>
        <w:rPr>
          <w:rFonts w:ascii="Calibri" w:hAnsi="Calibri" w:cs="Calibri"/>
          <w:sz w:val="24"/>
          <w:szCs w:val="24"/>
        </w:rPr>
      </w:pPr>
      <w:r w:rsidRPr="004270A9">
        <w:rPr>
          <w:rFonts w:ascii="Calibri" w:hAnsi="Calibri" w:cs="Calibri"/>
          <w:sz w:val="24"/>
          <w:szCs w:val="24"/>
        </w:rPr>
        <w:t>d) High Complexity – Service recipients who use a mixture of standard banking products and services and customised solutions due to the scale of their business. They have complex accounting and reporting structures, high volumes of users over multiple sites, use shared service providers and some have subcontracted arrangements.</w:t>
      </w:r>
    </w:p>
    <w:p w14:paraId="2F4FFF52" w14:textId="77777777" w:rsidR="00711CD8" w:rsidRDefault="004270A9" w:rsidP="004270A9">
      <w:pPr>
        <w:rPr>
          <w:rFonts w:ascii="Calibri" w:hAnsi="Calibri" w:cs="Calibri"/>
          <w:sz w:val="24"/>
          <w:szCs w:val="24"/>
        </w:rPr>
      </w:pPr>
      <w:r w:rsidRPr="004270A9">
        <w:rPr>
          <w:rFonts w:ascii="Calibri" w:hAnsi="Calibri" w:cs="Calibri"/>
          <w:sz w:val="24"/>
          <w:szCs w:val="24"/>
        </w:rPr>
        <w:tab/>
        <w:t>The transfer of tranches will necessitate multiple Operational Service Commencement Dates</w:t>
      </w:r>
      <w:r w:rsidR="00711CD8">
        <w:rPr>
          <w:rFonts w:ascii="Calibri" w:hAnsi="Calibri" w:cs="Calibri"/>
          <w:sz w:val="24"/>
          <w:szCs w:val="24"/>
        </w:rPr>
        <w:t xml:space="preserve"> </w:t>
      </w:r>
      <w:r w:rsidRPr="004270A9">
        <w:rPr>
          <w:rFonts w:ascii="Calibri" w:hAnsi="Calibri" w:cs="Calibri"/>
          <w:sz w:val="24"/>
          <w:szCs w:val="24"/>
        </w:rPr>
        <w:t>within and across the tranches, with the first Operational Service Commencement Date applying to GB</w:t>
      </w:r>
      <w:r>
        <w:rPr>
          <w:rFonts w:ascii="Calibri" w:hAnsi="Calibri" w:cs="Calibri"/>
          <w:sz w:val="24"/>
          <w:szCs w:val="24"/>
        </w:rPr>
        <w:t xml:space="preserve"> and c</w:t>
      </w:r>
      <w:r w:rsidRPr="004270A9">
        <w:rPr>
          <w:rFonts w:ascii="Calibri" w:hAnsi="Calibri" w:cs="Calibri"/>
          <w:sz w:val="24"/>
          <w:szCs w:val="24"/>
        </w:rPr>
        <w:t xml:space="preserve">ommencement of the transition period no earlier than 25th March 2025. </w:t>
      </w:r>
    </w:p>
    <w:p w14:paraId="21DD8116" w14:textId="0D0F0C79" w:rsidR="00180A29" w:rsidRPr="00464C22" w:rsidRDefault="004270A9" w:rsidP="1A93421E">
      <w:pPr>
        <w:rPr>
          <w:rFonts w:asciiTheme="minorHAnsi" w:hAnsiTheme="minorHAnsi"/>
          <w:sz w:val="24"/>
          <w:szCs w:val="24"/>
          <w:highlight w:val="yellow"/>
        </w:rPr>
      </w:pPr>
      <w:r w:rsidRPr="1A93421E">
        <w:rPr>
          <w:rFonts w:ascii="Calibri" w:hAnsi="Calibri" w:cs="Calibri"/>
          <w:sz w:val="24"/>
          <w:szCs w:val="24"/>
        </w:rPr>
        <w:t>Transition of all remaining tranches (other than a) at 3</w:t>
      </w:r>
      <w:r w:rsidR="003F6FF4" w:rsidRPr="1A93421E">
        <w:rPr>
          <w:rFonts w:ascii="Calibri" w:hAnsi="Calibri" w:cs="Calibri"/>
          <w:sz w:val="24"/>
          <w:szCs w:val="24"/>
        </w:rPr>
        <w:t xml:space="preserve"> abo</w:t>
      </w:r>
      <w:r w:rsidRPr="1A93421E">
        <w:rPr>
          <w:rFonts w:ascii="Calibri" w:hAnsi="Calibri" w:cs="Calibri"/>
          <w:sz w:val="24"/>
          <w:szCs w:val="24"/>
        </w:rPr>
        <w:t xml:space="preserve">ve) will commence at the same time, however the time required to complete transition will differ for each tranche due to the range and complexity of the services to be transitioned and the back-office systems of the Service Recipients that are affected. To minimise the impact </w:t>
      </w:r>
      <w:r w:rsidRPr="1A93421E">
        <w:rPr>
          <w:rFonts w:ascii="Calibri" w:hAnsi="Calibri" w:cs="Calibri"/>
          <w:sz w:val="24"/>
          <w:szCs w:val="24"/>
        </w:rPr>
        <w:lastRenderedPageBreak/>
        <w:t xml:space="preserve">on the flow of funds to government, GB expects suppliers to utilise industry available tools including </w:t>
      </w:r>
      <w:proofErr w:type="spellStart"/>
      <w:r w:rsidR="753E7F1C" w:rsidRPr="1A93421E">
        <w:rPr>
          <w:rFonts w:ascii="Calibri" w:hAnsi="Calibri" w:cs="Calibri"/>
          <w:sz w:val="24"/>
          <w:szCs w:val="24"/>
        </w:rPr>
        <w:t>Pay.Uk's</w:t>
      </w:r>
      <w:proofErr w:type="spellEnd"/>
      <w:r w:rsidRPr="1A93421E">
        <w:rPr>
          <w:rFonts w:ascii="Calibri" w:hAnsi="Calibri" w:cs="Calibri"/>
          <w:sz w:val="24"/>
          <w:szCs w:val="24"/>
        </w:rPr>
        <w:t xml:space="preserve"> Bulk Payment Redirection Service.</w:t>
      </w:r>
      <w:r w:rsidR="00C7772A" w:rsidRPr="1A93421E">
        <w:rPr>
          <w:rFonts w:asciiTheme="minorHAnsi" w:hAnsiTheme="minorHAnsi"/>
          <w:sz w:val="24"/>
          <w:szCs w:val="24"/>
        </w:rPr>
        <w:t xml:space="preserve"> </w:t>
      </w:r>
    </w:p>
    <w:p w14:paraId="188D7832" w14:textId="77777777" w:rsidR="00464C22" w:rsidRPr="00DC198C" w:rsidRDefault="00C8116E" w:rsidP="00DC198C">
      <w:pPr>
        <w:rPr>
          <w:rFonts w:ascii="Calibri" w:hAnsi="Calibri" w:cs="Calibri"/>
          <w:b/>
          <w:sz w:val="24"/>
          <w:szCs w:val="24"/>
        </w:rPr>
      </w:pPr>
      <w:r w:rsidRPr="00CB1E89">
        <w:rPr>
          <w:rFonts w:asciiTheme="minorHAnsi" w:hAnsiTheme="minorHAnsi"/>
          <w:b/>
          <w:sz w:val="24"/>
        </w:rPr>
        <w:t xml:space="preserve">Operational Services - </w:t>
      </w:r>
      <w:r w:rsidR="00464C22" w:rsidRPr="00DC198C">
        <w:rPr>
          <w:rFonts w:ascii="Calibri" w:hAnsi="Calibri" w:cs="Calibri"/>
          <w:sz w:val="24"/>
          <w:szCs w:val="24"/>
        </w:rPr>
        <w:t xml:space="preserve">GB is seeking long term arrangements for MTS which are resilient, secure and able to move with industry changes. The services required include: </w:t>
      </w:r>
    </w:p>
    <w:p w14:paraId="207846FD" w14:textId="1EA80E7B" w:rsidR="00464C22" w:rsidRPr="00DC198C" w:rsidRDefault="00464C22" w:rsidP="00464C22">
      <w:pPr>
        <w:ind w:left="1429"/>
        <w:rPr>
          <w:rFonts w:ascii="Calibri" w:hAnsi="Calibri" w:cs="Calibri"/>
          <w:sz w:val="24"/>
          <w:szCs w:val="24"/>
        </w:rPr>
      </w:pPr>
      <w:r w:rsidRPr="00DC198C">
        <w:rPr>
          <w:rFonts w:ascii="Calibri" w:hAnsi="Calibri" w:cs="Calibri"/>
          <w:sz w:val="24"/>
          <w:szCs w:val="24"/>
        </w:rPr>
        <w:t xml:space="preserve">• Account Provision – the provision of accounts for Government Banking and its customers. These will mostly be in GBP but a small number of customers will require EUR and/or USD. Accounts </w:t>
      </w:r>
      <w:r w:rsidR="00DC198C" w:rsidRPr="00DC198C">
        <w:rPr>
          <w:rFonts w:ascii="Calibri" w:hAnsi="Calibri" w:cs="Calibri"/>
          <w:sz w:val="24"/>
          <w:szCs w:val="24"/>
        </w:rPr>
        <w:t>will</w:t>
      </w:r>
      <w:r w:rsidRPr="00DC198C">
        <w:rPr>
          <w:rFonts w:ascii="Calibri" w:hAnsi="Calibri" w:cs="Calibri"/>
          <w:sz w:val="24"/>
          <w:szCs w:val="24"/>
        </w:rPr>
        <w:t xml:space="preserve"> be held within groups/pools from which funds can be swept to and from Government Banking high-level accounts at the Bank of England as necessary. </w:t>
      </w:r>
    </w:p>
    <w:p w14:paraId="0705E2D1" w14:textId="77777777" w:rsidR="00464C22" w:rsidRPr="00DC198C" w:rsidRDefault="00464C22" w:rsidP="00464C22">
      <w:pPr>
        <w:ind w:left="1429"/>
        <w:rPr>
          <w:rFonts w:ascii="Calibri" w:hAnsi="Calibri" w:cs="Calibri"/>
          <w:sz w:val="24"/>
          <w:szCs w:val="24"/>
        </w:rPr>
      </w:pPr>
      <w:r w:rsidRPr="00DC198C">
        <w:rPr>
          <w:rFonts w:ascii="Calibri" w:hAnsi="Calibri" w:cs="Calibri"/>
          <w:sz w:val="24"/>
          <w:szCs w:val="24"/>
        </w:rPr>
        <w:t xml:space="preserve">• Electronic Banking – access to the suppliers electronic banking service to monitor and control access to accounts, view transactions, obtain reports and submit payment instructions individually and via file upload. </w:t>
      </w:r>
    </w:p>
    <w:p w14:paraId="7DA694B2" w14:textId="3C854DFE" w:rsidR="00464C22" w:rsidRPr="00DC198C" w:rsidRDefault="00464C22" w:rsidP="00464C22">
      <w:pPr>
        <w:ind w:left="1429"/>
        <w:rPr>
          <w:rFonts w:ascii="Calibri" w:hAnsi="Calibri" w:cs="Calibri"/>
          <w:sz w:val="24"/>
          <w:szCs w:val="24"/>
        </w:rPr>
      </w:pPr>
      <w:r w:rsidRPr="00DC198C">
        <w:rPr>
          <w:rFonts w:ascii="Calibri" w:hAnsi="Calibri" w:cs="Calibri"/>
          <w:sz w:val="24"/>
          <w:szCs w:val="24"/>
        </w:rPr>
        <w:t xml:space="preserve">• Payment Products – the ability to make and receive payments using all standard payment methods. For UK payments this includes CHAPS, Bacs, Faster Payments, cheques, warrants and payable orders, branch facilities for cheque and cash deposit and withdrawal facilities (including options for end users who are unbanked) and bulk cheque and cash processing. Sponsorship for origination of Bacs Direct Credit and Direct Debit submissions is also vital as these are key payment methods used by Government. For overseas transactions this includes cross-border payments in Sterling and Euro, SEPA and foreign exchange facilities. </w:t>
      </w:r>
    </w:p>
    <w:p w14:paraId="34D5A52C" w14:textId="77777777" w:rsidR="00464C22" w:rsidRPr="00DC198C" w:rsidRDefault="00464C22" w:rsidP="00464C22">
      <w:pPr>
        <w:ind w:left="1429"/>
        <w:rPr>
          <w:rFonts w:ascii="Calibri" w:hAnsi="Calibri" w:cs="Calibri"/>
          <w:sz w:val="24"/>
          <w:szCs w:val="24"/>
        </w:rPr>
      </w:pPr>
      <w:r w:rsidRPr="00DC198C">
        <w:rPr>
          <w:rFonts w:ascii="Calibri" w:hAnsi="Calibri" w:cs="Calibri"/>
          <w:sz w:val="24"/>
          <w:szCs w:val="24"/>
        </w:rPr>
        <w:t xml:space="preserve">• Reporting – Government Banking and some customers will have specific reporting/data service requirements. These could include the need for Host-to-Host connectivity, links via APIs or other methods of receiving data at scale. </w:t>
      </w:r>
    </w:p>
    <w:p w14:paraId="6C5B98BD" w14:textId="10FF7FC7" w:rsidR="00464C22" w:rsidRPr="00DC198C" w:rsidRDefault="00464C22" w:rsidP="00464C22">
      <w:pPr>
        <w:ind w:left="1429"/>
        <w:rPr>
          <w:rFonts w:ascii="Calibri" w:hAnsi="Calibri" w:cs="Calibri"/>
          <w:sz w:val="24"/>
          <w:szCs w:val="24"/>
        </w:rPr>
      </w:pPr>
      <w:r>
        <w:t xml:space="preserve">• </w:t>
      </w:r>
      <w:r w:rsidRPr="00DC198C">
        <w:rPr>
          <w:rFonts w:ascii="Calibri" w:hAnsi="Calibri" w:cs="Calibri"/>
          <w:sz w:val="24"/>
          <w:szCs w:val="24"/>
        </w:rPr>
        <w:t xml:space="preserve">Customer Support – helpdesk facilities to respond to technical e.g., issues in submitting Bacs files and non-technical queries such as payment tracing. These teams should be suitably knowledgeable about the relevant banking products provided but also about how Government uses them e.g., Bacs Grade 3 </w:t>
      </w:r>
    </w:p>
    <w:p w14:paraId="25F6A5CD" w14:textId="77777777" w:rsidR="00464C22" w:rsidRPr="00DC198C" w:rsidRDefault="00464C22" w:rsidP="00464C22">
      <w:pPr>
        <w:ind w:left="1429"/>
        <w:rPr>
          <w:rFonts w:ascii="Calibri" w:hAnsi="Calibri" w:cs="Calibri"/>
          <w:sz w:val="24"/>
          <w:szCs w:val="24"/>
        </w:rPr>
      </w:pPr>
      <w:r w:rsidRPr="00DC198C">
        <w:rPr>
          <w:rFonts w:ascii="Calibri" w:hAnsi="Calibri" w:cs="Calibri"/>
          <w:sz w:val="24"/>
          <w:szCs w:val="24"/>
        </w:rPr>
        <w:t xml:space="preserve">• Incident Management – incident management processes to communicate with Government Banking, implement any necessary work arounds, monitor progress to completion and agree a return to Business as usual. </w:t>
      </w:r>
    </w:p>
    <w:p w14:paraId="6EA20FD2" w14:textId="5DEBED02" w:rsidR="00464C22" w:rsidRPr="00DC198C" w:rsidRDefault="00464C22" w:rsidP="00464C22">
      <w:pPr>
        <w:ind w:left="1429"/>
        <w:rPr>
          <w:rFonts w:ascii="Calibri" w:hAnsi="Calibri" w:cs="Calibri"/>
          <w:sz w:val="24"/>
          <w:szCs w:val="24"/>
        </w:rPr>
      </w:pPr>
      <w:r w:rsidRPr="00DC198C">
        <w:rPr>
          <w:rFonts w:ascii="Calibri" w:hAnsi="Calibri" w:cs="Calibri"/>
          <w:sz w:val="24"/>
          <w:szCs w:val="24"/>
        </w:rPr>
        <w:t xml:space="preserve">• Overlay Services – access to overlay services e.g., Confirmation of Payee services and other products that utilise Open Banking. </w:t>
      </w:r>
    </w:p>
    <w:p w14:paraId="07BE1A05" w14:textId="7178AE98" w:rsidR="00BB1FDC" w:rsidRPr="00DC198C" w:rsidRDefault="00BB1FDC" w:rsidP="00711CD8">
      <w:pPr>
        <w:rPr>
          <w:rFonts w:ascii="Calibri" w:hAnsi="Calibri" w:cs="Calibri"/>
          <w:sz w:val="24"/>
          <w:szCs w:val="24"/>
        </w:rPr>
      </w:pPr>
      <w:r w:rsidRPr="00DC198C">
        <w:rPr>
          <w:rFonts w:ascii="Calibri" w:hAnsi="Calibri" w:cs="Calibri"/>
          <w:sz w:val="24"/>
          <w:szCs w:val="24"/>
        </w:rPr>
        <w:t xml:space="preserve">The service requirements </w:t>
      </w:r>
      <w:r w:rsidR="00711CD8">
        <w:rPr>
          <w:rFonts w:ascii="Calibri" w:hAnsi="Calibri" w:cs="Calibri"/>
          <w:sz w:val="24"/>
          <w:szCs w:val="24"/>
        </w:rPr>
        <w:t xml:space="preserve">are </w:t>
      </w:r>
      <w:r w:rsidRPr="00DC198C">
        <w:rPr>
          <w:rFonts w:ascii="Calibri" w:hAnsi="Calibri" w:cs="Calibri"/>
          <w:sz w:val="24"/>
          <w:szCs w:val="24"/>
        </w:rPr>
        <w:t>divided into 3 Lots (2x House Bank and 1</w:t>
      </w:r>
      <w:r w:rsidR="00DC198C" w:rsidRPr="00DC198C">
        <w:rPr>
          <w:rFonts w:ascii="Calibri" w:hAnsi="Calibri" w:cs="Calibri"/>
          <w:sz w:val="24"/>
          <w:szCs w:val="24"/>
        </w:rPr>
        <w:t>x</w:t>
      </w:r>
      <w:r w:rsidRPr="00DC198C">
        <w:rPr>
          <w:rFonts w:ascii="Calibri" w:hAnsi="Calibri" w:cs="Calibri"/>
          <w:sz w:val="24"/>
          <w:szCs w:val="24"/>
        </w:rPr>
        <w:t xml:space="preserve"> Overseas Payments), the resultant contracts will be enabled for use by GB customers including government departments, executive agencies, non-departmental bodies, and the wider public sector (including the National Health Service). </w:t>
      </w:r>
    </w:p>
    <w:p w14:paraId="39980472" w14:textId="1E85BA6A" w:rsidR="00FA439E" w:rsidRPr="00FB7E03" w:rsidRDefault="00C8116E" w:rsidP="1A93421E">
      <w:pPr>
        <w:numPr>
          <w:ilvl w:val="0"/>
          <w:numId w:val="18"/>
        </w:numPr>
        <w:rPr>
          <w:rFonts w:asciiTheme="minorHAnsi" w:hAnsiTheme="minorHAnsi"/>
          <w:sz w:val="24"/>
          <w:szCs w:val="24"/>
        </w:rPr>
      </w:pPr>
      <w:r w:rsidRPr="00FB7E03">
        <w:rPr>
          <w:rFonts w:asciiTheme="minorHAnsi" w:hAnsiTheme="minorHAnsi"/>
          <w:sz w:val="24"/>
          <w:szCs w:val="24"/>
        </w:rPr>
        <w:lastRenderedPageBreak/>
        <w:t xml:space="preserve">Security Requirements </w:t>
      </w:r>
      <w:r w:rsidR="00B91311" w:rsidRPr="00FB7E03">
        <w:rPr>
          <w:rFonts w:asciiTheme="minorHAnsi" w:hAnsiTheme="minorHAnsi"/>
          <w:sz w:val="24"/>
          <w:szCs w:val="24"/>
        </w:rPr>
        <w:t>–</w:t>
      </w:r>
      <w:r w:rsidRPr="00FB7E03">
        <w:rPr>
          <w:rFonts w:asciiTheme="minorHAnsi" w:hAnsiTheme="minorHAnsi"/>
          <w:sz w:val="24"/>
          <w:szCs w:val="24"/>
        </w:rPr>
        <w:t xml:space="preserve"> </w:t>
      </w:r>
      <w:r w:rsidR="6F771A9A" w:rsidRPr="00FB7E03">
        <w:rPr>
          <w:rFonts w:asciiTheme="minorHAnsi" w:hAnsiTheme="minorHAnsi"/>
          <w:sz w:val="24"/>
          <w:szCs w:val="24"/>
        </w:rPr>
        <w:t>R</w:t>
      </w:r>
      <w:r w:rsidR="003F6FF4" w:rsidRPr="00FB7E03">
        <w:rPr>
          <w:rFonts w:asciiTheme="minorHAnsi" w:hAnsiTheme="minorHAnsi"/>
          <w:sz w:val="24"/>
          <w:szCs w:val="24"/>
        </w:rPr>
        <w:t xml:space="preserve">efer to </w:t>
      </w:r>
      <w:r w:rsidR="000C5A52" w:rsidRPr="00FB7E03">
        <w:rPr>
          <w:rFonts w:asciiTheme="minorHAnsi" w:hAnsiTheme="minorHAnsi"/>
          <w:sz w:val="24"/>
          <w:szCs w:val="24"/>
        </w:rPr>
        <w:t xml:space="preserve">Schedule </w:t>
      </w:r>
      <w:r w:rsidR="00BC4C22" w:rsidRPr="00FB7E03">
        <w:rPr>
          <w:rFonts w:asciiTheme="minorHAnsi" w:hAnsiTheme="minorHAnsi"/>
          <w:sz w:val="24"/>
          <w:szCs w:val="24"/>
        </w:rPr>
        <w:t xml:space="preserve">2.4 </w:t>
      </w:r>
      <w:r w:rsidR="00EF50B3" w:rsidRPr="00FB7E03">
        <w:rPr>
          <w:rFonts w:asciiTheme="minorHAnsi" w:hAnsiTheme="minorHAnsi"/>
          <w:sz w:val="24"/>
          <w:szCs w:val="24"/>
        </w:rPr>
        <w:t>(</w:t>
      </w:r>
      <w:r w:rsidR="00BC4C22" w:rsidRPr="00FB7E03">
        <w:rPr>
          <w:rFonts w:asciiTheme="minorHAnsi" w:hAnsiTheme="minorHAnsi"/>
          <w:sz w:val="24"/>
          <w:szCs w:val="24"/>
        </w:rPr>
        <w:t>Security Management</w:t>
      </w:r>
      <w:r w:rsidR="00EF50B3" w:rsidRPr="00FB7E03">
        <w:rPr>
          <w:rFonts w:asciiTheme="minorHAnsi" w:hAnsiTheme="minorHAnsi"/>
          <w:sz w:val="24"/>
          <w:szCs w:val="24"/>
        </w:rPr>
        <w:t>)</w:t>
      </w:r>
      <w:r w:rsidR="003F6FF4" w:rsidRPr="00FB7E03">
        <w:rPr>
          <w:rFonts w:asciiTheme="minorHAnsi" w:hAnsiTheme="minorHAnsi"/>
          <w:sz w:val="24"/>
          <w:szCs w:val="24"/>
        </w:rPr>
        <w:t>, including Annex 2 Security management Plan</w:t>
      </w:r>
      <w:r w:rsidR="00EF50B3" w:rsidRPr="00FB7E03">
        <w:rPr>
          <w:rFonts w:asciiTheme="minorHAnsi" w:hAnsiTheme="minorHAnsi"/>
          <w:sz w:val="24"/>
          <w:szCs w:val="24"/>
        </w:rPr>
        <w:t>.</w:t>
      </w:r>
    </w:p>
    <w:p w14:paraId="32BA20D3" w14:textId="555CF4AE" w:rsidR="00185F27" w:rsidRPr="00FB7E03" w:rsidRDefault="00185F27" w:rsidP="00185F27">
      <w:pPr>
        <w:numPr>
          <w:ilvl w:val="0"/>
          <w:numId w:val="18"/>
        </w:numPr>
        <w:rPr>
          <w:rFonts w:asciiTheme="minorHAnsi" w:hAnsiTheme="minorHAnsi"/>
          <w:sz w:val="24"/>
        </w:rPr>
      </w:pPr>
      <w:r w:rsidRPr="00FB7E03">
        <w:rPr>
          <w:rFonts w:asciiTheme="minorHAnsi" w:hAnsiTheme="minorHAnsi"/>
          <w:sz w:val="24"/>
        </w:rPr>
        <w:t xml:space="preserve">Social Value Requirements – </w:t>
      </w:r>
      <w:r w:rsidR="003F6FF4" w:rsidRPr="00FB7E03">
        <w:rPr>
          <w:rFonts w:asciiTheme="minorHAnsi" w:hAnsiTheme="minorHAnsi"/>
          <w:sz w:val="24"/>
        </w:rPr>
        <w:t>Refer to Schedule 4.1 Supplier Solution.</w:t>
      </w:r>
    </w:p>
    <w:p w14:paraId="29A9FB3F" w14:textId="6A23AA4C" w:rsidR="00EF50B3" w:rsidRPr="00FB7E03" w:rsidRDefault="00EF50B3" w:rsidP="005A4E61">
      <w:pPr>
        <w:numPr>
          <w:ilvl w:val="0"/>
          <w:numId w:val="18"/>
        </w:numPr>
        <w:rPr>
          <w:rFonts w:asciiTheme="minorHAnsi" w:hAnsiTheme="minorHAnsi"/>
          <w:i/>
          <w:iCs/>
          <w:sz w:val="24"/>
        </w:rPr>
      </w:pPr>
      <w:r w:rsidRPr="00FB7E03">
        <w:rPr>
          <w:rFonts w:asciiTheme="minorHAnsi" w:hAnsiTheme="minorHAnsi"/>
          <w:sz w:val="24"/>
        </w:rPr>
        <w:t xml:space="preserve">Authority Data </w:t>
      </w:r>
      <w:r w:rsidR="003F6FF4" w:rsidRPr="00FB7E03">
        <w:rPr>
          <w:rFonts w:asciiTheme="minorHAnsi" w:hAnsiTheme="minorHAnsi"/>
          <w:sz w:val="24"/>
        </w:rPr>
        <w:t>–</w:t>
      </w:r>
      <w:r w:rsidRPr="00FB7E03">
        <w:rPr>
          <w:rFonts w:asciiTheme="minorHAnsi" w:hAnsiTheme="minorHAnsi"/>
          <w:sz w:val="24"/>
        </w:rPr>
        <w:t xml:space="preserve"> </w:t>
      </w:r>
      <w:r w:rsidR="003F6FF4" w:rsidRPr="00FB7E03">
        <w:rPr>
          <w:rFonts w:asciiTheme="minorHAnsi" w:hAnsiTheme="minorHAnsi"/>
          <w:sz w:val="24"/>
        </w:rPr>
        <w:t>Refer to Schedule 2.8 Data Processing and List of Sub-Processors.</w:t>
      </w:r>
    </w:p>
    <w:p w14:paraId="79DA47CC" w14:textId="703DD42E" w:rsidR="00B91311" w:rsidRPr="00FB7E03" w:rsidRDefault="00B91311" w:rsidP="00EF50B3">
      <w:pPr>
        <w:numPr>
          <w:ilvl w:val="0"/>
          <w:numId w:val="18"/>
        </w:numPr>
        <w:rPr>
          <w:rFonts w:asciiTheme="minorHAnsi" w:hAnsiTheme="minorHAnsi"/>
          <w:sz w:val="24"/>
        </w:rPr>
      </w:pPr>
      <w:r w:rsidRPr="00FB7E03">
        <w:rPr>
          <w:rFonts w:asciiTheme="minorHAnsi" w:hAnsiTheme="minorHAnsi"/>
          <w:sz w:val="24"/>
        </w:rPr>
        <w:t xml:space="preserve">Pooling and sweeping services – </w:t>
      </w:r>
      <w:r w:rsidR="003F6FF4" w:rsidRPr="00FB7E03">
        <w:rPr>
          <w:rFonts w:asciiTheme="minorHAnsi" w:hAnsiTheme="minorHAnsi"/>
          <w:sz w:val="24"/>
        </w:rPr>
        <w:t>Refer to Schedule 13 Pooling</w:t>
      </w:r>
      <w:r w:rsidRPr="00FB7E03">
        <w:rPr>
          <w:rFonts w:asciiTheme="minorHAnsi" w:hAnsiTheme="minorHAnsi"/>
          <w:sz w:val="24"/>
        </w:rPr>
        <w:t>.</w:t>
      </w:r>
    </w:p>
    <w:p w14:paraId="289BEC10" w14:textId="2B9C80F9" w:rsidR="00180A29" w:rsidRPr="00FB7E03" w:rsidRDefault="00C8116E">
      <w:pPr>
        <w:numPr>
          <w:ilvl w:val="0"/>
          <w:numId w:val="18"/>
        </w:numPr>
        <w:rPr>
          <w:rFonts w:asciiTheme="minorHAnsi" w:hAnsiTheme="minorHAnsi"/>
          <w:sz w:val="24"/>
        </w:rPr>
      </w:pPr>
      <w:r w:rsidRPr="00FB7E03">
        <w:rPr>
          <w:rFonts w:asciiTheme="minorHAnsi" w:hAnsiTheme="minorHAnsi"/>
          <w:sz w:val="24"/>
        </w:rPr>
        <w:t xml:space="preserve">Optional Services </w:t>
      </w:r>
      <w:r w:rsidR="00EF50B3" w:rsidRPr="00FB7E03">
        <w:rPr>
          <w:rFonts w:asciiTheme="minorHAnsi" w:hAnsiTheme="minorHAnsi"/>
          <w:sz w:val="24"/>
        </w:rPr>
        <w:t>–</w:t>
      </w:r>
      <w:r w:rsidRPr="00FB7E03">
        <w:rPr>
          <w:rFonts w:asciiTheme="minorHAnsi" w:hAnsiTheme="minorHAnsi"/>
          <w:sz w:val="24"/>
        </w:rPr>
        <w:t xml:space="preserve"> </w:t>
      </w:r>
      <w:r w:rsidR="003F6FF4" w:rsidRPr="00FB7E03">
        <w:rPr>
          <w:rFonts w:asciiTheme="minorHAnsi" w:hAnsiTheme="minorHAnsi"/>
          <w:sz w:val="24"/>
        </w:rPr>
        <w:t>Refer to Cost Model.</w:t>
      </w:r>
    </w:p>
    <w:p w14:paraId="33BD4D98" w14:textId="77777777" w:rsidR="008C3A2C" w:rsidRPr="008C3A2C" w:rsidRDefault="008C3A2C" w:rsidP="008C3A2C">
      <w:pPr>
        <w:rPr>
          <w:rFonts w:ascii="Calibri" w:hAnsi="Calibri" w:cs="Calibri"/>
          <w:sz w:val="24"/>
          <w:szCs w:val="24"/>
        </w:rPr>
      </w:pPr>
      <w:r w:rsidRPr="008C3A2C">
        <w:rPr>
          <w:rFonts w:ascii="Calibri" w:hAnsi="Calibri" w:cs="Calibri"/>
          <w:sz w:val="24"/>
          <w:szCs w:val="24"/>
        </w:rPr>
        <w:t xml:space="preserve">The full list of requirements for provision of the services is included at Annex A </w:t>
      </w:r>
    </w:p>
    <w:p w14:paraId="08732E31" w14:textId="45BFC745" w:rsidR="00BB1FDC" w:rsidRDefault="00BB1FDC" w:rsidP="00BB1FDC">
      <w:pPr>
        <w:rPr>
          <w:rFonts w:asciiTheme="minorHAnsi" w:hAnsiTheme="minorHAnsi"/>
          <w:b/>
          <w:sz w:val="24"/>
        </w:rPr>
      </w:pPr>
    </w:p>
    <w:p w14:paraId="694C881E" w14:textId="380ECFE0" w:rsidR="00BB1FDC" w:rsidRDefault="00BB1FDC">
      <w:pPr>
        <w:spacing w:after="0"/>
        <w:ind w:left="0"/>
        <w:jc w:val="left"/>
        <w:rPr>
          <w:rFonts w:asciiTheme="minorHAnsi" w:hAnsiTheme="minorHAnsi"/>
          <w:b/>
          <w:sz w:val="24"/>
        </w:rPr>
      </w:pPr>
      <w:r>
        <w:rPr>
          <w:rFonts w:asciiTheme="minorHAnsi" w:hAnsiTheme="minorHAnsi"/>
          <w:b/>
          <w:sz w:val="24"/>
        </w:rPr>
        <w:br w:type="page"/>
      </w:r>
    </w:p>
    <w:p w14:paraId="3C3E6ABF" w14:textId="77777777" w:rsidR="00904DF5" w:rsidRDefault="00904DF5" w:rsidP="00BB1FDC">
      <w:pPr>
        <w:rPr>
          <w:rFonts w:asciiTheme="minorHAnsi" w:hAnsiTheme="minorHAnsi"/>
          <w:b/>
          <w:sz w:val="32"/>
          <w:szCs w:val="32"/>
        </w:rPr>
        <w:sectPr w:rsidR="00904DF5">
          <w:headerReference w:type="even" r:id="rId13"/>
          <w:headerReference w:type="default"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pPr>
    </w:p>
    <w:tbl>
      <w:tblPr>
        <w:tblpPr w:leftFromText="180" w:rightFromText="180" w:vertAnchor="text" w:horzAnchor="margin" w:tblpX="-1276" w:tblpY="-1679"/>
        <w:tblOverlap w:val="never"/>
        <w:tblW w:w="15735" w:type="dxa"/>
        <w:tblLayout w:type="fixed"/>
        <w:tblLook w:val="04A0" w:firstRow="1" w:lastRow="0" w:firstColumn="1" w:lastColumn="0" w:noHBand="0" w:noVBand="1"/>
      </w:tblPr>
      <w:tblGrid>
        <w:gridCol w:w="876"/>
        <w:gridCol w:w="13016"/>
        <w:gridCol w:w="1843"/>
      </w:tblGrid>
      <w:tr w:rsidR="00787B4E" w:rsidRPr="00A24C76" w14:paraId="1A350D44" w14:textId="6D8FC66D" w:rsidTr="00BB3F32">
        <w:trPr>
          <w:trHeight w:val="430"/>
        </w:trPr>
        <w:tc>
          <w:tcPr>
            <w:tcW w:w="876" w:type="dxa"/>
            <w:tcBorders>
              <w:top w:val="nil"/>
              <w:left w:val="nil"/>
              <w:bottom w:val="single" w:sz="4" w:space="0" w:color="auto"/>
              <w:right w:val="nil"/>
            </w:tcBorders>
            <w:shd w:val="clear" w:color="auto" w:fill="auto"/>
            <w:noWrap/>
            <w:vAlign w:val="bottom"/>
            <w:hideMark/>
          </w:tcPr>
          <w:p w14:paraId="71B0D622" w14:textId="77777777" w:rsidR="00787B4E" w:rsidRPr="00A24C76" w:rsidRDefault="00787B4E" w:rsidP="00787B4E">
            <w:pPr>
              <w:spacing w:after="0"/>
              <w:ind w:left="0"/>
              <w:jc w:val="left"/>
              <w:rPr>
                <w:rFonts w:ascii="Times New Roman" w:eastAsia="Times New Roman" w:hAnsi="Times New Roman"/>
                <w:bCs/>
                <w:sz w:val="20"/>
                <w:szCs w:val="20"/>
                <w:lang w:eastAsia="en-GB"/>
              </w:rPr>
            </w:pPr>
          </w:p>
        </w:tc>
        <w:tc>
          <w:tcPr>
            <w:tcW w:w="13016" w:type="dxa"/>
            <w:tcBorders>
              <w:top w:val="nil"/>
              <w:left w:val="nil"/>
              <w:bottom w:val="single" w:sz="4" w:space="0" w:color="auto"/>
              <w:right w:val="nil"/>
            </w:tcBorders>
            <w:shd w:val="clear" w:color="auto" w:fill="auto"/>
            <w:noWrap/>
            <w:vAlign w:val="center"/>
            <w:hideMark/>
          </w:tcPr>
          <w:p w14:paraId="341F280F" w14:textId="77777777" w:rsidR="00787B4E" w:rsidRPr="00A24C76" w:rsidRDefault="00787B4E" w:rsidP="00787B4E">
            <w:pPr>
              <w:spacing w:after="0"/>
              <w:ind w:left="0"/>
              <w:jc w:val="left"/>
              <w:rPr>
                <w:rFonts w:asciiTheme="minorHAnsi" w:hAnsiTheme="minorHAnsi"/>
                <w:bCs/>
                <w:sz w:val="32"/>
                <w:szCs w:val="32"/>
              </w:rPr>
            </w:pPr>
          </w:p>
          <w:p w14:paraId="31972A85" w14:textId="13155308" w:rsidR="00787B4E" w:rsidRPr="00A24C76" w:rsidRDefault="00787B4E" w:rsidP="00787B4E">
            <w:pPr>
              <w:spacing w:after="0"/>
              <w:ind w:left="0"/>
              <w:jc w:val="left"/>
              <w:rPr>
                <w:rFonts w:ascii="Calibri" w:eastAsia="Times New Roman" w:hAnsi="Calibri" w:cs="Calibri"/>
                <w:bCs/>
                <w:sz w:val="32"/>
                <w:szCs w:val="32"/>
                <w:lang w:eastAsia="en-GB"/>
              </w:rPr>
            </w:pPr>
            <w:r w:rsidRPr="00A24C76">
              <w:rPr>
                <w:rFonts w:asciiTheme="minorHAnsi" w:hAnsiTheme="minorHAnsi"/>
                <w:bCs/>
                <w:sz w:val="32"/>
                <w:szCs w:val="32"/>
              </w:rPr>
              <w:t>Annex A – Requirements</w:t>
            </w:r>
          </w:p>
          <w:p w14:paraId="335D7234" w14:textId="77777777" w:rsidR="00787B4E" w:rsidRPr="00A24C76" w:rsidRDefault="00787B4E" w:rsidP="00787B4E">
            <w:pPr>
              <w:spacing w:after="0"/>
              <w:ind w:left="0"/>
              <w:jc w:val="center"/>
              <w:rPr>
                <w:rFonts w:ascii="Calibri" w:eastAsia="Times New Roman" w:hAnsi="Calibri" w:cs="Calibri"/>
                <w:bCs/>
                <w:sz w:val="32"/>
                <w:szCs w:val="32"/>
                <w:lang w:eastAsia="en-GB"/>
              </w:rPr>
            </w:pPr>
          </w:p>
          <w:p w14:paraId="2813C9E5" w14:textId="70888A34" w:rsidR="00787B4E" w:rsidRPr="00A24C76" w:rsidRDefault="00787B4E" w:rsidP="00787B4E">
            <w:pPr>
              <w:spacing w:after="0"/>
              <w:ind w:left="0"/>
              <w:jc w:val="center"/>
              <w:rPr>
                <w:rFonts w:ascii="Calibri" w:eastAsia="Times New Roman" w:hAnsi="Calibri" w:cs="Calibri"/>
                <w:bCs/>
                <w:sz w:val="32"/>
                <w:szCs w:val="32"/>
                <w:lang w:eastAsia="en-GB"/>
              </w:rPr>
            </w:pPr>
          </w:p>
        </w:tc>
        <w:tc>
          <w:tcPr>
            <w:tcW w:w="1843" w:type="dxa"/>
            <w:tcBorders>
              <w:top w:val="nil"/>
              <w:left w:val="nil"/>
              <w:bottom w:val="nil"/>
              <w:right w:val="nil"/>
            </w:tcBorders>
          </w:tcPr>
          <w:p w14:paraId="3FBC3989" w14:textId="77777777" w:rsidR="00787B4E" w:rsidRPr="00A24C76" w:rsidRDefault="00787B4E" w:rsidP="00787B4E">
            <w:pPr>
              <w:spacing w:after="0"/>
              <w:ind w:left="0"/>
              <w:jc w:val="left"/>
              <w:rPr>
                <w:rFonts w:asciiTheme="minorHAnsi" w:hAnsiTheme="minorHAnsi"/>
                <w:bCs/>
                <w:sz w:val="32"/>
                <w:szCs w:val="32"/>
              </w:rPr>
            </w:pPr>
          </w:p>
        </w:tc>
      </w:tr>
    </w:tbl>
    <w:p w14:paraId="73BB9ABF" w14:textId="3931E838" w:rsidR="00213125" w:rsidRPr="00A24C76" w:rsidRDefault="00A24C76" w:rsidP="00904DF5">
      <w:pPr>
        <w:ind w:left="0"/>
        <w:rPr>
          <w:rFonts w:asciiTheme="minorHAnsi" w:hAnsiTheme="minorHAnsi"/>
          <w:bCs/>
        </w:rPr>
      </w:pPr>
      <w:r w:rsidRPr="00A24C76">
        <w:rPr>
          <w:rFonts w:asciiTheme="minorHAnsi" w:hAnsiTheme="minorHAnsi"/>
          <w:bCs/>
          <w:highlight w:val="black"/>
        </w:rPr>
        <w:t>XXXXXXXXXXXXXXXXXXXXXXXXXXXXXXXXXXXXXXXXXXXXXXXXXXXXXXXXXXXXXXXXXXXXXXXXXXXXXXXXXXXXXX</w:t>
      </w:r>
      <w:r>
        <w:rPr>
          <w:rFonts w:asciiTheme="minorHAnsi" w:hAnsiTheme="minorHAnsi"/>
          <w:bCs/>
          <w:highlight w:val="black"/>
        </w:rPr>
        <w:t>XXXXXXXXXX</w:t>
      </w:r>
      <w:r w:rsidRPr="00A24C76">
        <w:rPr>
          <w:rFonts w:asciiTheme="minorHAnsi" w:hAnsiTheme="minorHAnsi"/>
          <w:bCs/>
          <w:highlight w:val="black"/>
        </w:rPr>
        <w:t>XXXXXXXXXXXXXXXXXXXXXXX</w:t>
      </w:r>
    </w:p>
    <w:sectPr w:rsidR="00213125" w:rsidRPr="00A24C76" w:rsidSect="00904DF5">
      <w:endnotePr>
        <w:numFmt w:val="decimal"/>
      </w:endnotePr>
      <w:pgSz w:w="16834" w:h="11909" w:orient="landscape"/>
      <w:pgMar w:top="1440" w:right="1440" w:bottom="1440" w:left="1797"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94E4" w14:textId="77777777" w:rsidR="0068763B" w:rsidRDefault="0068763B">
      <w:r>
        <w:separator/>
      </w:r>
    </w:p>
    <w:p w14:paraId="6F9BDB8C" w14:textId="77777777" w:rsidR="0068763B" w:rsidRDefault="0068763B"/>
  </w:endnote>
  <w:endnote w:type="continuationSeparator" w:id="0">
    <w:p w14:paraId="16337688" w14:textId="77777777" w:rsidR="0068763B" w:rsidRDefault="0068763B">
      <w:r>
        <w:continuationSeparator/>
      </w:r>
    </w:p>
    <w:p w14:paraId="4F56FBCC" w14:textId="77777777" w:rsidR="0068763B" w:rsidRDefault="0068763B"/>
  </w:endnote>
  <w:endnote w:type="continuationNotice" w:id="1">
    <w:p w14:paraId="35C3534F" w14:textId="77777777" w:rsidR="0068763B" w:rsidRDefault="00687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2106" w14:textId="176FE2E1" w:rsidR="007B65ED" w:rsidRPr="007B65ED" w:rsidRDefault="00580157" w:rsidP="007B65ED">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0" behindDoc="0" locked="0" layoutInCell="0" allowOverlap="1" wp14:anchorId="7535C2D5" wp14:editId="2A804FC7">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1B7481"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35C2D5" id="_x0000_t202" coordsize="21600,21600" o:spt="202" path="m,l,21600r21600,l21600,xe">
              <v:stroke joinstyle="miter"/>
              <v:path gradientshapeok="t" o:connecttype="rect"/>
            </v:shapetype>
            <v:shape id="Text Box 2"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701B7481"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v:textbox>
              <w10:wrap anchorx="page" anchory="page"/>
            </v:shape>
          </w:pict>
        </mc:Fallback>
      </mc:AlternateContent>
    </w:r>
    <w:r w:rsidR="007B65ED" w:rsidRPr="007B65ED">
      <w:rPr>
        <w:rFonts w:ascii="Calibri" w:hAnsi="Calibri"/>
      </w:rPr>
      <w:t>O</w:t>
    </w:r>
    <w:r w:rsidR="004A774B">
      <w:rPr>
        <w:rFonts w:ascii="Calibri" w:hAnsi="Calibri"/>
      </w:rPr>
      <w:t>FFICIAL –</w:t>
    </w:r>
    <w:r w:rsidR="007B65ED" w:rsidRPr="007B65ED">
      <w:rPr>
        <w:rFonts w:ascii="Calibri" w:hAnsi="Calibri"/>
      </w:rPr>
      <w:t xml:space="preserve"> SENSITIVE</w:t>
    </w:r>
    <w:r w:rsidR="004A774B">
      <w:rPr>
        <w:rFonts w:ascii="Calibri" w:hAnsi="Calibri"/>
      </w:rPr>
      <w:t xml:space="preserve"> - COMMERCIAL</w:t>
    </w:r>
    <w:r w:rsidR="007B65ED" w:rsidRPr="007B65ED">
      <w:rPr>
        <w:rFonts w:ascii="Calibri" w:hAnsi="Calibri"/>
        <w:sz w:val="24"/>
        <w:lang w:val="en-US"/>
      </w:rPr>
      <w:tab/>
    </w:r>
    <w:r w:rsidR="007B65ED" w:rsidRPr="007B65ED">
      <w:rPr>
        <w:rFonts w:ascii="Calibri" w:hAnsi="Calibri"/>
        <w:sz w:val="24"/>
        <w:lang w:val="en-US"/>
      </w:rPr>
      <w:fldChar w:fldCharType="begin"/>
    </w:r>
    <w:r w:rsidR="007B65ED" w:rsidRPr="007B65ED">
      <w:rPr>
        <w:rFonts w:ascii="Calibri" w:hAnsi="Calibri"/>
        <w:sz w:val="24"/>
        <w:lang w:val="en-US"/>
      </w:rPr>
      <w:instrText xml:space="preserve"> PAGE   \* MERGEFORMAT </w:instrText>
    </w:r>
    <w:r w:rsidR="007B65ED" w:rsidRPr="007B65ED">
      <w:rPr>
        <w:rFonts w:ascii="Calibri" w:hAnsi="Calibri"/>
        <w:sz w:val="24"/>
        <w:lang w:val="en-US"/>
      </w:rPr>
      <w:fldChar w:fldCharType="separate"/>
    </w:r>
    <w:r w:rsidR="00E359A1">
      <w:rPr>
        <w:rFonts w:ascii="Calibri" w:hAnsi="Calibri"/>
        <w:noProof/>
        <w:sz w:val="24"/>
        <w:lang w:val="en-US"/>
      </w:rPr>
      <w:t>2</w:t>
    </w:r>
    <w:r w:rsidR="007B65ED" w:rsidRPr="007B65ED">
      <w:rPr>
        <w:rFonts w:ascii="Calibri" w:hAnsi="Calibri"/>
        <w:noProof/>
        <w:sz w:val="24"/>
        <w:lang w:val="en-US"/>
      </w:rPr>
      <w:fldChar w:fldCharType="end"/>
    </w:r>
  </w:p>
  <w:p w14:paraId="0051E901" w14:textId="77777777" w:rsidR="007B65ED" w:rsidRDefault="007B65ED" w:rsidP="007B65ED">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FFF5" w14:textId="36EA54FF" w:rsidR="00C8116E" w:rsidRDefault="00580157" w:rsidP="00C8116E">
    <w:pPr>
      <w:pStyle w:val="Footer"/>
      <w:jc w:val="right"/>
    </w:pPr>
    <w:r>
      <w:rPr>
        <w:noProof/>
      </w:rPr>
      <mc:AlternateContent>
        <mc:Choice Requires="wps">
          <w:drawing>
            <wp:anchor distT="0" distB="0" distL="114300" distR="114300" simplePos="0" relativeHeight="251658241" behindDoc="0" locked="0" layoutInCell="0" allowOverlap="1" wp14:anchorId="17815C70" wp14:editId="58C3F1AE">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DB5E2D"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815C70" id="_x0000_t202" coordsize="21600,21600" o:spt="202" path="m,l,21600r21600,l21600,xe">
              <v:stroke joinstyle="miter"/>
              <v:path gradientshapeok="t" o:connecttype="rect"/>
            </v:shapetype>
            <v:shape id="Text Box 4"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14DB5E2D"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v:textbox>
              <w10:wrap anchorx="page" anchory="page"/>
            </v:shape>
          </w:pict>
        </mc:Fallback>
      </mc:AlternateContent>
    </w:r>
    <w:r w:rsidR="00C8116E">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EF87" w14:textId="77777777" w:rsidR="0068763B" w:rsidRDefault="0068763B">
      <w:r>
        <w:separator/>
      </w:r>
    </w:p>
    <w:p w14:paraId="771BBB5F" w14:textId="77777777" w:rsidR="0068763B" w:rsidRDefault="0068763B"/>
  </w:footnote>
  <w:footnote w:type="continuationSeparator" w:id="0">
    <w:p w14:paraId="012BDB59" w14:textId="77777777" w:rsidR="0068763B" w:rsidRDefault="0068763B">
      <w:r>
        <w:continuationSeparator/>
      </w:r>
    </w:p>
    <w:p w14:paraId="0A8A92D1" w14:textId="77777777" w:rsidR="0068763B" w:rsidRDefault="0068763B"/>
  </w:footnote>
  <w:footnote w:type="continuationNotice" w:id="1">
    <w:p w14:paraId="06E74EA7" w14:textId="77777777" w:rsidR="0068763B" w:rsidRDefault="00687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F976" w14:textId="77777777" w:rsidR="00180A29" w:rsidRDefault="00180A29">
    <w:pPr>
      <w:pStyle w:val="Header"/>
      <w:jc w:val="center"/>
    </w:pPr>
  </w:p>
  <w:p w14:paraId="40B70ABE" w14:textId="77777777" w:rsidR="00180A29" w:rsidRDefault="00180A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39D6" w14:textId="113145D9" w:rsidR="007B65ED" w:rsidRPr="007B65ED" w:rsidRDefault="007B65ED" w:rsidP="00EF50B3">
    <w:pPr>
      <w:tabs>
        <w:tab w:val="center" w:pos="4153"/>
        <w:tab w:val="right" w:pos="9026"/>
      </w:tabs>
      <w:spacing w:after="0"/>
      <w:ind w:left="0" w:right="400"/>
      <w:rPr>
        <w:rFonts w:ascii="Calibri" w:eastAsia="Times New Roman" w:hAnsi="Calibri"/>
        <w:sz w:val="20"/>
        <w:szCs w:val="20"/>
      </w:rPr>
    </w:pPr>
    <w:r w:rsidRPr="007B65ED">
      <w:rPr>
        <w:rFonts w:ascii="Calibri" w:eastAsia="Times New Roman" w:hAnsi="Calibri"/>
        <w:sz w:val="20"/>
        <w:szCs w:val="20"/>
      </w:rPr>
      <w:tab/>
      <w:t xml:space="preserve">     </w:t>
    </w:r>
    <w:r w:rsidR="00EF50B3">
      <w:rPr>
        <w:rFonts w:ascii="Calibri" w:eastAsia="Times New Roman" w:hAnsi="Calibri"/>
        <w:sz w:val="20"/>
        <w:szCs w:val="20"/>
      </w:rPr>
      <w:tab/>
    </w:r>
    <w:r w:rsidRPr="007B65ED">
      <w:rPr>
        <w:rFonts w:ascii="Calibri" w:eastAsia="Times New Roman" w:hAnsi="Calibri"/>
        <w:sz w:val="20"/>
        <w:szCs w:val="20"/>
      </w:rPr>
      <w:t xml:space="preserve">  </w:t>
    </w:r>
    <w:r w:rsidR="00EF50B3">
      <w:rPr>
        <w:rFonts w:ascii="Calibri" w:eastAsia="Times New Roman" w:hAnsi="Calibri"/>
        <w:sz w:val="20"/>
        <w:szCs w:val="20"/>
      </w:rPr>
      <w:t xml:space="preserve">                                     </w:t>
    </w:r>
    <w:r w:rsidRPr="007B65ED">
      <w:rPr>
        <w:rFonts w:ascii="Calibri" w:eastAsia="Times New Roman" w:hAnsi="Calibri"/>
        <w:sz w:val="20"/>
        <w:szCs w:val="20"/>
      </w:rPr>
      <w:t xml:space="preserve">Schedule </w:t>
    </w:r>
    <w:r>
      <w:rPr>
        <w:rFonts w:ascii="Calibri" w:eastAsia="Times New Roman" w:hAnsi="Calibri"/>
        <w:sz w:val="20"/>
        <w:szCs w:val="20"/>
      </w:rPr>
      <w:t>2.1 | Services Description</w:t>
    </w:r>
  </w:p>
  <w:p w14:paraId="5449854E" w14:textId="77777777" w:rsidR="00180A29" w:rsidRDefault="00180A29">
    <w:pPr>
      <w:pStyle w:val="Header"/>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4345C" w14:textId="77777777" w:rsidR="00180A29" w:rsidRDefault="00180A29">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7BB0E41"/>
    <w:multiLevelType w:val="hybridMultilevel"/>
    <w:tmpl w:val="24763A9E"/>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1877F09"/>
    <w:multiLevelType w:val="hybridMultilevel"/>
    <w:tmpl w:val="897AA6D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4"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4C06E0D"/>
    <w:multiLevelType w:val="multilevel"/>
    <w:tmpl w:val="F7669E14"/>
    <w:numStyleLink w:val="DefinitionList"/>
  </w:abstractNum>
  <w:abstractNum w:abstractNumId="77"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8"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9" w15:restartNumberingAfterBreak="0">
    <w:nsid w:val="68CD5099"/>
    <w:multiLevelType w:val="hybridMultilevel"/>
    <w:tmpl w:val="7D0C9FFC"/>
    <w:lvl w:ilvl="0" w:tplc="08090001">
      <w:start w:val="1"/>
      <w:numFmt w:val="bullet"/>
      <w:lvlText w:val=""/>
      <w:lvlJc w:val="left"/>
      <w:pPr>
        <w:ind w:left="1789" w:hanging="360"/>
      </w:pPr>
      <w:rPr>
        <w:rFonts w:ascii="Symbol" w:hAnsi="Symbol" w:hint="default"/>
      </w:rPr>
    </w:lvl>
    <w:lvl w:ilvl="1" w:tplc="08090003" w:tentative="1">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80"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1"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2"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38207F0"/>
    <w:multiLevelType w:val="hybridMultilevel"/>
    <w:tmpl w:val="8B74730A"/>
    <w:lvl w:ilvl="0" w:tplc="0809000F">
      <w:start w:val="1"/>
      <w:numFmt w:val="decimal"/>
      <w:lvlText w:val="%1."/>
      <w:lvlJc w:val="left"/>
      <w:pPr>
        <w:ind w:left="1789" w:hanging="360"/>
      </w:pPr>
      <w:rPr>
        <w:rFonts w:hint="default"/>
      </w:rPr>
    </w:lvl>
    <w:lvl w:ilvl="1" w:tplc="08090003" w:tentative="1">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86"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8"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9" w15:restartNumberingAfterBreak="0">
    <w:nsid w:val="76BA0C20"/>
    <w:multiLevelType w:val="hybridMultilevel"/>
    <w:tmpl w:val="2A94F530"/>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1"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35935546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2126439">
    <w:abstractNumId w:val="51"/>
  </w:num>
  <w:num w:numId="3" w16cid:durableId="1452938296">
    <w:abstractNumId w:val="33"/>
  </w:num>
  <w:num w:numId="4" w16cid:durableId="605120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797585">
    <w:abstractNumId w:val="40"/>
  </w:num>
  <w:num w:numId="6" w16cid:durableId="1750227518">
    <w:abstractNumId w:val="93"/>
  </w:num>
  <w:num w:numId="7" w16cid:durableId="1350794850">
    <w:abstractNumId w:val="54"/>
  </w:num>
  <w:num w:numId="8" w16cid:durableId="1772584936">
    <w:abstractNumId w:val="2"/>
  </w:num>
  <w:num w:numId="9" w16cid:durableId="966818555">
    <w:abstractNumId w:val="77"/>
  </w:num>
  <w:num w:numId="10" w16cid:durableId="1445148080">
    <w:abstractNumId w:val="11"/>
  </w:num>
  <w:num w:numId="11" w16cid:durableId="1260983722">
    <w:abstractNumId w:val="90"/>
  </w:num>
  <w:num w:numId="12" w16cid:durableId="1088622773">
    <w:abstractNumId w:val="48"/>
  </w:num>
  <w:num w:numId="13" w16cid:durableId="1662469719">
    <w:abstractNumId w:val="50"/>
  </w:num>
  <w:num w:numId="14" w16cid:durableId="1345935297">
    <w:abstractNumId w:val="35"/>
  </w:num>
  <w:num w:numId="15" w16cid:durableId="1489711570">
    <w:abstractNumId w:val="34"/>
  </w:num>
  <w:num w:numId="16" w16cid:durableId="41172968">
    <w:abstractNumId w:val="61"/>
  </w:num>
  <w:num w:numId="17" w16cid:durableId="2042779626">
    <w:abstractNumId w:val="63"/>
  </w:num>
  <w:num w:numId="18" w16cid:durableId="1176991683">
    <w:abstractNumId w:val="87"/>
  </w:num>
  <w:num w:numId="19" w16cid:durableId="816260663">
    <w:abstractNumId w:val="42"/>
  </w:num>
  <w:num w:numId="20" w16cid:durableId="921909297">
    <w:abstractNumId w:val="67"/>
  </w:num>
  <w:num w:numId="21" w16cid:durableId="684479848">
    <w:abstractNumId w:val="4"/>
  </w:num>
  <w:num w:numId="22" w16cid:durableId="117142397">
    <w:abstractNumId w:val="1"/>
  </w:num>
  <w:num w:numId="23" w16cid:durableId="470288868">
    <w:abstractNumId w:val="17"/>
  </w:num>
  <w:num w:numId="24" w16cid:durableId="1197082339">
    <w:abstractNumId w:val="36"/>
  </w:num>
  <w:num w:numId="25" w16cid:durableId="1058433295">
    <w:abstractNumId w:val="72"/>
  </w:num>
  <w:num w:numId="26" w16cid:durableId="397822200">
    <w:abstractNumId w:val="15"/>
  </w:num>
  <w:num w:numId="27" w16cid:durableId="1965886954">
    <w:abstractNumId w:val="92"/>
  </w:num>
  <w:num w:numId="28" w16cid:durableId="1635595807">
    <w:abstractNumId w:val="7"/>
  </w:num>
  <w:num w:numId="29" w16cid:durableId="1000816579">
    <w:abstractNumId w:val="59"/>
  </w:num>
  <w:num w:numId="30" w16cid:durableId="706099061">
    <w:abstractNumId w:val="75"/>
  </w:num>
  <w:num w:numId="31" w16cid:durableId="167450599">
    <w:abstractNumId w:val="83"/>
  </w:num>
  <w:num w:numId="32" w16cid:durableId="3018719">
    <w:abstractNumId w:val="12"/>
  </w:num>
  <w:num w:numId="33" w16cid:durableId="634457063">
    <w:abstractNumId w:val="37"/>
  </w:num>
  <w:num w:numId="34" w16cid:durableId="1372538881">
    <w:abstractNumId w:val="71"/>
  </w:num>
  <w:num w:numId="35" w16cid:durableId="9066437">
    <w:abstractNumId w:val="6"/>
  </w:num>
  <w:num w:numId="36" w16cid:durableId="1097558956">
    <w:abstractNumId w:val="10"/>
  </w:num>
  <w:num w:numId="37" w16cid:durableId="746734004">
    <w:abstractNumId w:val="82"/>
  </w:num>
  <w:num w:numId="38" w16cid:durableId="552692268">
    <w:abstractNumId w:val="43"/>
  </w:num>
  <w:num w:numId="39" w16cid:durableId="512493366">
    <w:abstractNumId w:val="16"/>
  </w:num>
  <w:num w:numId="40" w16cid:durableId="965282251">
    <w:abstractNumId w:val="81"/>
  </w:num>
  <w:num w:numId="41" w16cid:durableId="655038320">
    <w:abstractNumId w:val="55"/>
  </w:num>
  <w:num w:numId="42" w16cid:durableId="1969779644">
    <w:abstractNumId w:val="14"/>
  </w:num>
  <w:num w:numId="43" w16cid:durableId="1791507398">
    <w:abstractNumId w:val="9"/>
  </w:num>
  <w:num w:numId="44" w16cid:durableId="48043992">
    <w:abstractNumId w:val="31"/>
  </w:num>
  <w:num w:numId="45" w16cid:durableId="1120108202">
    <w:abstractNumId w:val="32"/>
  </w:num>
  <w:num w:numId="46" w16cid:durableId="2057463056">
    <w:abstractNumId w:val="47"/>
  </w:num>
  <w:num w:numId="47" w16cid:durableId="608583813">
    <w:abstractNumId w:val="58"/>
  </w:num>
  <w:num w:numId="48" w16cid:durableId="1633826854">
    <w:abstractNumId w:val="65"/>
  </w:num>
  <w:num w:numId="49" w16cid:durableId="1548488624">
    <w:abstractNumId w:val="41"/>
  </w:num>
  <w:num w:numId="50" w16cid:durableId="1303657361">
    <w:abstractNumId w:val="62"/>
  </w:num>
  <w:num w:numId="51" w16cid:durableId="1870146524">
    <w:abstractNumId w:val="30"/>
  </w:num>
  <w:num w:numId="52" w16cid:durableId="1765571319">
    <w:abstractNumId w:val="84"/>
  </w:num>
  <w:num w:numId="53" w16cid:durableId="1576010164">
    <w:abstractNumId w:val="45"/>
  </w:num>
  <w:num w:numId="54" w16cid:durableId="174200310">
    <w:abstractNumId w:val="53"/>
  </w:num>
  <w:num w:numId="55" w16cid:durableId="1269191046">
    <w:abstractNumId w:val="3"/>
  </w:num>
  <w:num w:numId="56" w16cid:durableId="211693252">
    <w:abstractNumId w:val="88"/>
  </w:num>
  <w:num w:numId="57" w16cid:durableId="758645111">
    <w:abstractNumId w:val="46"/>
  </w:num>
  <w:num w:numId="58" w16cid:durableId="541870644">
    <w:abstractNumId w:val="68"/>
  </w:num>
  <w:num w:numId="59" w16cid:durableId="794253104">
    <w:abstractNumId w:val="19"/>
  </w:num>
  <w:num w:numId="60" w16cid:durableId="1543708163">
    <w:abstractNumId w:val="23"/>
  </w:num>
  <w:num w:numId="61" w16cid:durableId="1747801980">
    <w:abstractNumId w:val="60"/>
  </w:num>
  <w:num w:numId="62" w16cid:durableId="1848708890">
    <w:abstractNumId w:val="27"/>
  </w:num>
  <w:num w:numId="63" w16cid:durableId="80762785">
    <w:abstractNumId w:val="20"/>
  </w:num>
  <w:num w:numId="64" w16cid:durableId="148288824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9098667">
    <w:abstractNumId w:val="21"/>
  </w:num>
  <w:num w:numId="66" w16cid:durableId="709955205">
    <w:abstractNumId w:val="25"/>
  </w:num>
  <w:num w:numId="67" w16cid:durableId="2068524703">
    <w:abstractNumId w:val="13"/>
  </w:num>
  <w:num w:numId="68" w16cid:durableId="768625712">
    <w:abstractNumId w:val="52"/>
  </w:num>
  <w:num w:numId="69" w16cid:durableId="726731401">
    <w:abstractNumId w:val="76"/>
  </w:num>
  <w:num w:numId="70" w16cid:durableId="74484101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5423187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86320446">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01186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80163450">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0227264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51334538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9243542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9584500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3039590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49198445">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30788714">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55910870">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1428711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6296663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46623320">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0576071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3687324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75393094">
    <w:abstractNumId w:val="28"/>
  </w:num>
  <w:num w:numId="89" w16cid:durableId="1565026084">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6212628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05217265">
    <w:abstractNumId w:val="69"/>
  </w:num>
  <w:num w:numId="92" w16cid:durableId="242835899">
    <w:abstractNumId w:val="57"/>
  </w:num>
  <w:num w:numId="93" w16cid:durableId="206170563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036321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285496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806386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75820967">
    <w:abstractNumId w:val="38"/>
  </w:num>
  <w:num w:numId="98" w16cid:durableId="21048369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239428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58412992">
    <w:abstractNumId w:val="8"/>
  </w:num>
  <w:num w:numId="101" w16cid:durableId="144007258">
    <w:abstractNumId w:val="80"/>
  </w:num>
  <w:num w:numId="102" w16cid:durableId="716858852">
    <w:abstractNumId w:val="49"/>
  </w:num>
  <w:num w:numId="103" w16cid:durableId="387457962">
    <w:abstractNumId w:val="91"/>
  </w:num>
  <w:num w:numId="104" w16cid:durableId="551619825">
    <w:abstractNumId w:val="86"/>
  </w:num>
  <w:num w:numId="105" w16cid:durableId="287276818">
    <w:abstractNumId w:val="24"/>
  </w:num>
  <w:num w:numId="106" w16cid:durableId="1921910995">
    <w:abstractNumId w:val="22"/>
  </w:num>
  <w:num w:numId="107" w16cid:durableId="452284065">
    <w:abstractNumId w:val="39"/>
  </w:num>
  <w:num w:numId="108" w16cid:durableId="1735621896">
    <w:abstractNumId w:val="44"/>
  </w:num>
  <w:num w:numId="109" w16cid:durableId="7000174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446053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111466187">
    <w:abstractNumId w:val="74"/>
  </w:num>
  <w:num w:numId="112" w16cid:durableId="278610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4001000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19597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750420786">
    <w:abstractNumId w:val="66"/>
  </w:num>
  <w:num w:numId="116" w16cid:durableId="38358309">
    <w:abstractNumId w:val="89"/>
  </w:num>
  <w:num w:numId="117" w16cid:durableId="824277025">
    <w:abstractNumId w:val="85"/>
  </w:num>
  <w:num w:numId="118" w16cid:durableId="1202326273">
    <w:abstractNumId w:val="79"/>
  </w:num>
  <w:num w:numId="119" w16cid:durableId="1125850455">
    <w:abstractNumId w:val="5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5ED"/>
    <w:rsid w:val="00003704"/>
    <w:rsid w:val="00052932"/>
    <w:rsid w:val="00064391"/>
    <w:rsid w:val="000B33C7"/>
    <w:rsid w:val="000C5A52"/>
    <w:rsid w:val="001001EA"/>
    <w:rsid w:val="001415F6"/>
    <w:rsid w:val="0015428D"/>
    <w:rsid w:val="00180A29"/>
    <w:rsid w:val="00185F27"/>
    <w:rsid w:val="001C6E3D"/>
    <w:rsid w:val="001D106B"/>
    <w:rsid w:val="001D4001"/>
    <w:rsid w:val="001D7635"/>
    <w:rsid w:val="00213125"/>
    <w:rsid w:val="00215462"/>
    <w:rsid w:val="00216490"/>
    <w:rsid w:val="0022499B"/>
    <w:rsid w:val="00251937"/>
    <w:rsid w:val="00292D87"/>
    <w:rsid w:val="002E73B7"/>
    <w:rsid w:val="002F2980"/>
    <w:rsid w:val="002F66BA"/>
    <w:rsid w:val="00307AA7"/>
    <w:rsid w:val="003240B8"/>
    <w:rsid w:val="00342B5B"/>
    <w:rsid w:val="00362DC9"/>
    <w:rsid w:val="00363C12"/>
    <w:rsid w:val="00365288"/>
    <w:rsid w:val="003843F9"/>
    <w:rsid w:val="003A6E5A"/>
    <w:rsid w:val="003E6E08"/>
    <w:rsid w:val="003F1D89"/>
    <w:rsid w:val="003F6FF4"/>
    <w:rsid w:val="00404431"/>
    <w:rsid w:val="00412050"/>
    <w:rsid w:val="004270A9"/>
    <w:rsid w:val="00464C22"/>
    <w:rsid w:val="0049354D"/>
    <w:rsid w:val="004A774B"/>
    <w:rsid w:val="0051163B"/>
    <w:rsid w:val="00573233"/>
    <w:rsid w:val="00580157"/>
    <w:rsid w:val="005A4E61"/>
    <w:rsid w:val="005D2889"/>
    <w:rsid w:val="00653D72"/>
    <w:rsid w:val="006567AF"/>
    <w:rsid w:val="00656B24"/>
    <w:rsid w:val="00657F6F"/>
    <w:rsid w:val="0068155F"/>
    <w:rsid w:val="0068763B"/>
    <w:rsid w:val="00711CD8"/>
    <w:rsid w:val="007122E2"/>
    <w:rsid w:val="007156BF"/>
    <w:rsid w:val="0072008B"/>
    <w:rsid w:val="00754210"/>
    <w:rsid w:val="00787B4E"/>
    <w:rsid w:val="00792C39"/>
    <w:rsid w:val="007A268A"/>
    <w:rsid w:val="007B2A23"/>
    <w:rsid w:val="007B65ED"/>
    <w:rsid w:val="007D070C"/>
    <w:rsid w:val="007D6FB0"/>
    <w:rsid w:val="007F4AC6"/>
    <w:rsid w:val="008178AD"/>
    <w:rsid w:val="008242D6"/>
    <w:rsid w:val="008644D5"/>
    <w:rsid w:val="00867DF1"/>
    <w:rsid w:val="008A0354"/>
    <w:rsid w:val="008C3A2C"/>
    <w:rsid w:val="00904DF5"/>
    <w:rsid w:val="00926FD5"/>
    <w:rsid w:val="00927891"/>
    <w:rsid w:val="009873F0"/>
    <w:rsid w:val="009B3E39"/>
    <w:rsid w:val="009D0739"/>
    <w:rsid w:val="009E7F45"/>
    <w:rsid w:val="00A103FA"/>
    <w:rsid w:val="00A24C76"/>
    <w:rsid w:val="00A31DBC"/>
    <w:rsid w:val="00A36259"/>
    <w:rsid w:val="00A47F5C"/>
    <w:rsid w:val="00A521D9"/>
    <w:rsid w:val="00A94FB1"/>
    <w:rsid w:val="00AA6E9C"/>
    <w:rsid w:val="00AB15F4"/>
    <w:rsid w:val="00AD3E07"/>
    <w:rsid w:val="00B20A74"/>
    <w:rsid w:val="00B218D8"/>
    <w:rsid w:val="00B36220"/>
    <w:rsid w:val="00B43E2B"/>
    <w:rsid w:val="00B66744"/>
    <w:rsid w:val="00B67812"/>
    <w:rsid w:val="00B778E5"/>
    <w:rsid w:val="00B91311"/>
    <w:rsid w:val="00BB1FDC"/>
    <w:rsid w:val="00BB3C8A"/>
    <w:rsid w:val="00BB3F32"/>
    <w:rsid w:val="00BC4C22"/>
    <w:rsid w:val="00BC6037"/>
    <w:rsid w:val="00BF6EB6"/>
    <w:rsid w:val="00C24249"/>
    <w:rsid w:val="00C76D4B"/>
    <w:rsid w:val="00C7772A"/>
    <w:rsid w:val="00C8116E"/>
    <w:rsid w:val="00CB1BCA"/>
    <w:rsid w:val="00CB1C66"/>
    <w:rsid w:val="00CB1E89"/>
    <w:rsid w:val="00CB688D"/>
    <w:rsid w:val="00CC36E8"/>
    <w:rsid w:val="00CD1A8A"/>
    <w:rsid w:val="00D23E6A"/>
    <w:rsid w:val="00D869BB"/>
    <w:rsid w:val="00D9559B"/>
    <w:rsid w:val="00DC198C"/>
    <w:rsid w:val="00DC5F81"/>
    <w:rsid w:val="00DE520C"/>
    <w:rsid w:val="00DF557B"/>
    <w:rsid w:val="00E0268B"/>
    <w:rsid w:val="00E057A0"/>
    <w:rsid w:val="00E13433"/>
    <w:rsid w:val="00E151A1"/>
    <w:rsid w:val="00E359A1"/>
    <w:rsid w:val="00E42383"/>
    <w:rsid w:val="00E671F6"/>
    <w:rsid w:val="00E74627"/>
    <w:rsid w:val="00E92688"/>
    <w:rsid w:val="00EA5A10"/>
    <w:rsid w:val="00EA654C"/>
    <w:rsid w:val="00EA715D"/>
    <w:rsid w:val="00EB5ED6"/>
    <w:rsid w:val="00EC21F4"/>
    <w:rsid w:val="00EC321E"/>
    <w:rsid w:val="00EF50B3"/>
    <w:rsid w:val="00EF61AE"/>
    <w:rsid w:val="00F02EAE"/>
    <w:rsid w:val="00F249BE"/>
    <w:rsid w:val="00F303D6"/>
    <w:rsid w:val="00F6006D"/>
    <w:rsid w:val="00F65831"/>
    <w:rsid w:val="00FA2751"/>
    <w:rsid w:val="00FA3097"/>
    <w:rsid w:val="00FA439E"/>
    <w:rsid w:val="00FB3D81"/>
    <w:rsid w:val="00FB73E9"/>
    <w:rsid w:val="00FB7E03"/>
    <w:rsid w:val="00FD7453"/>
    <w:rsid w:val="19B45D44"/>
    <w:rsid w:val="1A93421E"/>
    <w:rsid w:val="6F771A9A"/>
    <w:rsid w:val="753E7F1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6DF8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msonormal0">
    <w:name w:val="msonormal"/>
    <w:basedOn w:val="Normal"/>
    <w:rsid w:val="00792C39"/>
    <w:pPr>
      <w:spacing w:before="100" w:beforeAutospacing="1" w:after="100" w:afterAutospacing="1"/>
      <w:ind w:left="0"/>
      <w:jc w:val="left"/>
    </w:pPr>
    <w:rPr>
      <w:rFonts w:ascii="Times New Roman" w:eastAsia="Times New Roman" w:hAnsi="Times New Roman"/>
      <w:sz w:val="24"/>
      <w:szCs w:val="24"/>
      <w:lang w:eastAsia="en-GB"/>
    </w:rPr>
  </w:style>
  <w:style w:type="paragraph" w:customStyle="1" w:styleId="font5">
    <w:name w:val="font5"/>
    <w:basedOn w:val="Normal"/>
    <w:rsid w:val="00792C39"/>
    <w:pPr>
      <w:spacing w:before="100" w:beforeAutospacing="1" w:after="100" w:afterAutospacing="1"/>
      <w:ind w:left="0"/>
      <w:jc w:val="left"/>
    </w:pPr>
    <w:rPr>
      <w:rFonts w:ascii="Arial" w:eastAsia="Times New Roman" w:hAnsi="Arial" w:cs="Arial"/>
      <w:color w:val="000000"/>
      <w:lang w:eastAsia="en-GB"/>
    </w:rPr>
  </w:style>
  <w:style w:type="paragraph" w:customStyle="1" w:styleId="font6">
    <w:name w:val="font6"/>
    <w:basedOn w:val="Normal"/>
    <w:rsid w:val="00792C39"/>
    <w:pPr>
      <w:spacing w:before="100" w:beforeAutospacing="1" w:after="100" w:afterAutospacing="1"/>
      <w:ind w:left="0"/>
      <w:jc w:val="left"/>
    </w:pPr>
    <w:rPr>
      <w:rFonts w:ascii="Arial" w:eastAsia="Times New Roman" w:hAnsi="Arial" w:cs="Arial"/>
      <w:color w:val="000000"/>
      <w:u w:val="single"/>
      <w:lang w:eastAsia="en-GB"/>
    </w:rPr>
  </w:style>
  <w:style w:type="paragraph" w:customStyle="1" w:styleId="font7">
    <w:name w:val="font7"/>
    <w:basedOn w:val="Normal"/>
    <w:rsid w:val="00792C39"/>
    <w:pPr>
      <w:spacing w:before="100" w:beforeAutospacing="1" w:after="100" w:afterAutospacing="1"/>
      <w:ind w:left="0"/>
      <w:jc w:val="left"/>
    </w:pPr>
    <w:rPr>
      <w:rFonts w:ascii="Arial" w:eastAsia="Times New Roman" w:hAnsi="Arial" w:cs="Arial"/>
      <w:lang w:eastAsia="en-GB"/>
    </w:rPr>
  </w:style>
  <w:style w:type="paragraph" w:customStyle="1" w:styleId="font8">
    <w:name w:val="font8"/>
    <w:basedOn w:val="Normal"/>
    <w:rsid w:val="00792C39"/>
    <w:pPr>
      <w:spacing w:before="100" w:beforeAutospacing="1" w:after="100" w:afterAutospacing="1"/>
      <w:ind w:left="0"/>
      <w:jc w:val="left"/>
    </w:pPr>
    <w:rPr>
      <w:rFonts w:ascii="Arial" w:eastAsia="Times New Roman" w:hAnsi="Arial" w:cs="Arial"/>
      <w:b/>
      <w:bCs/>
      <w:color w:val="FF0000"/>
      <w:lang w:eastAsia="en-GB"/>
    </w:rPr>
  </w:style>
  <w:style w:type="paragraph" w:customStyle="1" w:styleId="xl63">
    <w:name w:val="xl63"/>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top"/>
    </w:pPr>
    <w:rPr>
      <w:rFonts w:ascii="Arial" w:eastAsia="Times New Roman" w:hAnsi="Arial" w:cs="Arial"/>
      <w:sz w:val="24"/>
      <w:szCs w:val="24"/>
      <w:lang w:eastAsia="en-GB"/>
    </w:rPr>
  </w:style>
  <w:style w:type="paragraph" w:customStyle="1" w:styleId="xl64">
    <w:name w:val="xl64"/>
    <w:basedOn w:val="Normal"/>
    <w:rsid w:val="00792C39"/>
    <w:pPr>
      <w:spacing w:before="100" w:beforeAutospacing="1" w:after="100" w:afterAutospacing="1"/>
      <w:ind w:left="0"/>
      <w:jc w:val="left"/>
    </w:pPr>
    <w:rPr>
      <w:rFonts w:ascii="Arial" w:eastAsia="Times New Roman" w:hAnsi="Arial" w:cs="Arial"/>
      <w:sz w:val="24"/>
      <w:szCs w:val="24"/>
      <w:lang w:eastAsia="en-GB"/>
    </w:rPr>
  </w:style>
  <w:style w:type="paragraph" w:customStyle="1" w:styleId="xl65">
    <w:name w:val="xl65"/>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top"/>
    </w:pPr>
    <w:rPr>
      <w:rFonts w:ascii="Arial" w:eastAsia="Times New Roman" w:hAnsi="Arial" w:cs="Arial"/>
      <w:sz w:val="24"/>
      <w:szCs w:val="24"/>
      <w:lang w:eastAsia="en-GB"/>
    </w:rPr>
  </w:style>
  <w:style w:type="paragraph" w:customStyle="1" w:styleId="xl66">
    <w:name w:val="xl66"/>
    <w:basedOn w:val="Normal"/>
    <w:rsid w:val="00792C39"/>
    <w:pPr>
      <w:pBdr>
        <w:top w:val="single" w:sz="4" w:space="0" w:color="auto"/>
        <w:left w:val="single" w:sz="4" w:space="0" w:color="auto"/>
        <w:bottom w:val="single" w:sz="4" w:space="0" w:color="auto"/>
        <w:right w:val="single" w:sz="4" w:space="0" w:color="auto"/>
      </w:pBdr>
      <w:shd w:val="clear" w:color="000000" w:fill="C6EFCE"/>
      <w:spacing w:before="100" w:beforeAutospacing="1" w:after="100" w:afterAutospacing="1"/>
      <w:ind w:left="0"/>
      <w:jc w:val="left"/>
      <w:textAlignment w:val="center"/>
    </w:pPr>
    <w:rPr>
      <w:rFonts w:ascii="Arial" w:eastAsia="Times New Roman" w:hAnsi="Arial" w:cs="Arial"/>
      <w:b/>
      <w:bCs/>
      <w:sz w:val="24"/>
      <w:szCs w:val="24"/>
      <w:lang w:eastAsia="en-GB"/>
    </w:rPr>
  </w:style>
  <w:style w:type="paragraph" w:customStyle="1" w:styleId="xl67">
    <w:name w:val="xl67"/>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Arial" w:eastAsia="Times New Roman" w:hAnsi="Arial" w:cs="Arial"/>
      <w:sz w:val="24"/>
      <w:szCs w:val="24"/>
      <w:lang w:eastAsia="en-GB"/>
    </w:rPr>
  </w:style>
  <w:style w:type="paragraph" w:customStyle="1" w:styleId="xl68">
    <w:name w:val="xl68"/>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Arial" w:eastAsia="Times New Roman" w:hAnsi="Arial" w:cs="Arial"/>
      <w:sz w:val="24"/>
      <w:szCs w:val="24"/>
      <w:lang w:eastAsia="en-GB"/>
    </w:rPr>
  </w:style>
  <w:style w:type="paragraph" w:customStyle="1" w:styleId="xl69">
    <w:name w:val="xl69"/>
    <w:basedOn w:val="Normal"/>
    <w:rsid w:val="00792C39"/>
    <w:pPr>
      <w:spacing w:before="100" w:beforeAutospacing="1" w:after="100" w:afterAutospacing="1"/>
      <w:ind w:left="0"/>
      <w:jc w:val="left"/>
    </w:pPr>
    <w:rPr>
      <w:rFonts w:ascii="Arial" w:eastAsia="Times New Roman" w:hAnsi="Arial" w:cs="Arial"/>
      <w:b/>
      <w:bCs/>
      <w:sz w:val="24"/>
      <w:szCs w:val="24"/>
      <w:lang w:eastAsia="en-GB"/>
    </w:rPr>
  </w:style>
  <w:style w:type="paragraph" w:customStyle="1" w:styleId="xl70">
    <w:name w:val="xl70"/>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Arial" w:eastAsia="Times New Roman" w:hAnsi="Arial" w:cs="Arial"/>
      <w:sz w:val="24"/>
      <w:szCs w:val="24"/>
      <w:lang w:eastAsia="en-GB"/>
    </w:rPr>
  </w:style>
  <w:style w:type="paragraph" w:customStyle="1" w:styleId="xl71">
    <w:name w:val="xl71"/>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top"/>
    </w:pPr>
    <w:rPr>
      <w:rFonts w:ascii="Arial" w:eastAsia="Times New Roman" w:hAnsi="Arial" w:cs="Arial"/>
      <w:color w:val="000000"/>
      <w:sz w:val="24"/>
      <w:szCs w:val="24"/>
      <w:lang w:eastAsia="en-GB"/>
    </w:rPr>
  </w:style>
  <w:style w:type="paragraph" w:customStyle="1" w:styleId="xl72">
    <w:name w:val="xl72"/>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top"/>
    </w:pPr>
    <w:rPr>
      <w:rFonts w:ascii="Arial" w:eastAsia="Times New Roman" w:hAnsi="Arial" w:cs="Arial"/>
      <w:sz w:val="24"/>
      <w:szCs w:val="24"/>
      <w:lang w:eastAsia="en-GB"/>
    </w:rPr>
  </w:style>
  <w:style w:type="paragraph" w:customStyle="1" w:styleId="xl73">
    <w:name w:val="xl73"/>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Arial" w:eastAsia="Times New Roman" w:hAnsi="Arial" w:cs="Arial"/>
      <w:sz w:val="24"/>
      <w:szCs w:val="24"/>
      <w:lang w:eastAsia="en-GB"/>
    </w:rPr>
  </w:style>
  <w:style w:type="paragraph" w:customStyle="1" w:styleId="xl74">
    <w:name w:val="xl74"/>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Arial" w:eastAsia="Times New Roman" w:hAnsi="Arial" w:cs="Arial"/>
      <w:sz w:val="24"/>
      <w:szCs w:val="24"/>
      <w:lang w:eastAsia="en-GB"/>
    </w:rPr>
  </w:style>
  <w:style w:type="paragraph" w:customStyle="1" w:styleId="xl75">
    <w:name w:val="xl75"/>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rFonts w:ascii="Arial" w:eastAsia="Times New Roman" w:hAnsi="Arial" w:cs="Arial"/>
      <w:b/>
      <w:bCs/>
      <w:sz w:val="24"/>
      <w:szCs w:val="24"/>
      <w:lang w:eastAsia="en-GB"/>
    </w:rPr>
  </w:style>
  <w:style w:type="paragraph" w:customStyle="1" w:styleId="xl76">
    <w:name w:val="xl76"/>
    <w:basedOn w:val="Normal"/>
    <w:rsid w:val="00792C39"/>
    <w:pPr>
      <w:pBdr>
        <w:top w:val="single" w:sz="4" w:space="0" w:color="auto"/>
        <w:left w:val="single" w:sz="4" w:space="0" w:color="auto"/>
        <w:bottom w:val="single" w:sz="4" w:space="0" w:color="auto"/>
        <w:right w:val="single" w:sz="4" w:space="0" w:color="auto"/>
      </w:pBdr>
      <w:shd w:val="clear" w:color="000000" w:fill="C6EFCE"/>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77">
    <w:name w:val="xl77"/>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78">
    <w:name w:val="xl78"/>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79">
    <w:name w:val="xl79"/>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color w:val="000000"/>
      <w:sz w:val="24"/>
      <w:szCs w:val="24"/>
      <w:lang w:eastAsia="en-GB"/>
    </w:rPr>
  </w:style>
  <w:style w:type="paragraph" w:customStyle="1" w:styleId="xl80">
    <w:name w:val="xl80"/>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81">
    <w:name w:val="xl81"/>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82">
    <w:name w:val="xl82"/>
    <w:basedOn w:val="Normal"/>
    <w:rsid w:val="00792C39"/>
    <w:pP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83">
    <w:name w:val="xl83"/>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top"/>
    </w:pPr>
    <w:rPr>
      <w:rFonts w:ascii="Arial" w:eastAsia="Times New Roman" w:hAnsi="Arial" w:cs="Arial"/>
      <w:sz w:val="24"/>
      <w:szCs w:val="24"/>
      <w:lang w:eastAsia="en-GB"/>
    </w:rPr>
  </w:style>
  <w:style w:type="paragraph" w:customStyle="1" w:styleId="xl84">
    <w:name w:val="xl84"/>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rFonts w:ascii="Arial" w:eastAsia="Times New Roman" w:hAnsi="Arial" w:cs="Arial"/>
      <w:sz w:val="24"/>
      <w:szCs w:val="24"/>
      <w:lang w:eastAsia="en-GB"/>
    </w:rPr>
  </w:style>
  <w:style w:type="paragraph" w:customStyle="1" w:styleId="xl85">
    <w:name w:val="xl85"/>
    <w:basedOn w:val="Normal"/>
    <w:rsid w:val="00792C39"/>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4"/>
      <w:szCs w:val="24"/>
      <w:lang w:eastAsia="en-GB"/>
    </w:rPr>
  </w:style>
  <w:style w:type="paragraph" w:customStyle="1" w:styleId="xl86">
    <w:name w:val="xl86"/>
    <w:basedOn w:val="Normal"/>
    <w:rsid w:val="00792C39"/>
    <w:pPr>
      <w:pBdr>
        <w:top w:val="single" w:sz="4" w:space="0" w:color="auto"/>
        <w:left w:val="single" w:sz="4" w:space="9" w:color="auto"/>
        <w:bottom w:val="single" w:sz="4" w:space="0" w:color="auto"/>
        <w:right w:val="single" w:sz="4" w:space="0" w:color="auto"/>
      </w:pBdr>
      <w:spacing w:before="100" w:beforeAutospacing="1" w:after="100" w:afterAutospacing="1"/>
      <w:ind w:left="0" w:firstLineChars="100" w:firstLine="100"/>
      <w:jc w:val="left"/>
      <w:textAlignment w:val="top"/>
    </w:pPr>
    <w:rPr>
      <w:rFonts w:ascii="Arial" w:eastAsia="Times New Roman" w:hAnsi="Arial" w:cs="Arial"/>
      <w:sz w:val="24"/>
      <w:szCs w:val="24"/>
      <w:lang w:eastAsia="en-GB"/>
    </w:rPr>
  </w:style>
  <w:style w:type="paragraph" w:customStyle="1" w:styleId="xl87">
    <w:name w:val="xl87"/>
    <w:basedOn w:val="Normal"/>
    <w:rsid w:val="00792C3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left="0"/>
      <w:jc w:val="center"/>
      <w:textAlignment w:val="top"/>
    </w:pPr>
    <w:rPr>
      <w:rFonts w:ascii="Arial" w:eastAsia="Times New Roman" w:hAnsi="Arial" w:cs="Arial"/>
      <w:b/>
      <w:bCs/>
      <w:sz w:val="24"/>
      <w:szCs w:val="24"/>
      <w:lang w:eastAsia="en-GB"/>
    </w:rPr>
  </w:style>
  <w:style w:type="paragraph" w:customStyle="1" w:styleId="xl88">
    <w:name w:val="xl88"/>
    <w:basedOn w:val="Normal"/>
    <w:rsid w:val="00792C3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left="0"/>
      <w:jc w:val="center"/>
    </w:pPr>
    <w:rPr>
      <w:rFonts w:ascii="Arial" w:eastAsia="Times New Roman" w:hAnsi="Arial" w:cs="Arial"/>
      <w:b/>
      <w:bCs/>
      <w:sz w:val="24"/>
      <w:szCs w:val="24"/>
      <w:lang w:eastAsia="en-GB"/>
    </w:rPr>
  </w:style>
  <w:style w:type="paragraph" w:customStyle="1" w:styleId="xl89">
    <w:name w:val="xl89"/>
    <w:basedOn w:val="Normal"/>
    <w:rsid w:val="00792C3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jc w:val="left"/>
    </w:pPr>
    <w:rPr>
      <w:rFonts w:ascii="Arial" w:eastAsia="Times New Roman" w:hAnsi="Arial" w:cs="Arial"/>
      <w:b/>
      <w:bCs/>
      <w:sz w:val="24"/>
      <w:szCs w:val="24"/>
      <w:lang w:eastAsia="en-GB"/>
    </w:rPr>
  </w:style>
  <w:style w:type="paragraph" w:customStyle="1" w:styleId="xl90">
    <w:name w:val="xl90"/>
    <w:basedOn w:val="Normal"/>
    <w:rsid w:val="00792C3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left="0"/>
      <w:jc w:val="center"/>
      <w:textAlignment w:val="top"/>
    </w:pPr>
    <w:rPr>
      <w:rFonts w:ascii="Arial" w:eastAsia="Times New Roman" w:hAnsi="Arial" w:cs="Arial"/>
      <w:b/>
      <w:bCs/>
      <w:color w:val="000000"/>
      <w:sz w:val="24"/>
      <w:szCs w:val="24"/>
      <w:lang w:eastAsia="en-GB"/>
    </w:rPr>
  </w:style>
  <w:style w:type="paragraph" w:customStyle="1" w:styleId="xl91">
    <w:name w:val="xl91"/>
    <w:basedOn w:val="Normal"/>
    <w:rsid w:val="00792C3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jc w:val="left"/>
      <w:textAlignment w:val="top"/>
    </w:pPr>
    <w:rPr>
      <w:rFonts w:ascii="Arial" w:eastAsia="Times New Roman" w:hAnsi="Arial" w:cs="Arial"/>
      <w:color w:val="000000"/>
      <w:sz w:val="24"/>
      <w:szCs w:val="24"/>
      <w:lang w:eastAsia="en-GB"/>
    </w:rPr>
  </w:style>
  <w:style w:type="paragraph" w:customStyle="1" w:styleId="xl92">
    <w:name w:val="xl92"/>
    <w:basedOn w:val="Normal"/>
    <w:rsid w:val="00792C39"/>
    <w:pPr>
      <w:pBdr>
        <w:top w:val="single" w:sz="4" w:space="0" w:color="auto"/>
        <w:left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93">
    <w:name w:val="xl93"/>
    <w:basedOn w:val="Normal"/>
    <w:rsid w:val="00792C39"/>
    <w:pPr>
      <w:pBdr>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94">
    <w:name w:val="xl94"/>
    <w:basedOn w:val="Normal"/>
    <w:rsid w:val="00792C39"/>
    <w:pPr>
      <w:pBdr>
        <w:top w:val="single" w:sz="4" w:space="0" w:color="auto"/>
        <w:left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95">
    <w:name w:val="xl95"/>
    <w:basedOn w:val="Normal"/>
    <w:rsid w:val="00792C39"/>
    <w:pPr>
      <w:pBdr>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eastAsia="Times New Roman" w:hAnsi="Arial" w:cs="Arial"/>
      <w:b/>
      <w:bCs/>
      <w:sz w:val="24"/>
      <w:szCs w:val="24"/>
      <w:lang w:eastAsia="en-GB"/>
    </w:rPr>
  </w:style>
  <w:style w:type="paragraph" w:customStyle="1" w:styleId="xl96">
    <w:name w:val="xl96"/>
    <w:basedOn w:val="Normal"/>
    <w:rsid w:val="00792C3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left="0"/>
      <w:jc w:val="center"/>
    </w:pPr>
    <w:rPr>
      <w:rFonts w:ascii="Arial" w:eastAsia="Times New Roman" w:hAnsi="Arial" w:cs="Arial"/>
      <w:b/>
      <w:bCs/>
      <w:sz w:val="24"/>
      <w:szCs w:val="24"/>
      <w:lang w:eastAsia="en-GB"/>
    </w:rPr>
  </w:style>
  <w:style w:type="paragraph" w:customStyle="1" w:styleId="xl97">
    <w:name w:val="xl97"/>
    <w:basedOn w:val="Normal"/>
    <w:rsid w:val="00792C3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jc w:val="left"/>
      <w:textAlignment w:val="top"/>
    </w:pPr>
    <w:rPr>
      <w:rFonts w:ascii="Arial" w:eastAsia="Times New Roman" w:hAnsi="Arial" w:cs="Arial"/>
      <w:b/>
      <w:bCs/>
      <w:color w:val="000000"/>
      <w:sz w:val="24"/>
      <w:szCs w:val="24"/>
      <w:lang w:eastAsia="en-GB"/>
    </w:rPr>
  </w:style>
  <w:style w:type="paragraph" w:customStyle="1" w:styleId="xl98">
    <w:name w:val="xl98"/>
    <w:basedOn w:val="Normal"/>
    <w:rsid w:val="0015428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left="0"/>
      <w:jc w:val="center"/>
    </w:pPr>
    <w:rPr>
      <w:rFonts w:ascii="Arial" w:eastAsia="Times New Roman" w:hAnsi="Arial" w:cs="Arial"/>
      <w:b/>
      <w:bCs/>
      <w:sz w:val="24"/>
      <w:szCs w:val="24"/>
      <w:lang w:eastAsia="en-GB"/>
    </w:rPr>
  </w:style>
  <w:style w:type="paragraph" w:customStyle="1" w:styleId="xl99">
    <w:name w:val="xl99"/>
    <w:basedOn w:val="Normal"/>
    <w:rsid w:val="0015428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jc w:val="left"/>
      <w:textAlignment w:val="top"/>
    </w:pPr>
    <w:rPr>
      <w:rFonts w:ascii="Arial" w:eastAsia="Times New Roman" w:hAnsi="Arial" w:cs="Arial"/>
      <w:b/>
      <w:bCs/>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02193237">
      <w:bodyDiv w:val="1"/>
      <w:marLeft w:val="0"/>
      <w:marRight w:val="0"/>
      <w:marTop w:val="0"/>
      <w:marBottom w:val="0"/>
      <w:divBdr>
        <w:top w:val="none" w:sz="0" w:space="0" w:color="auto"/>
        <w:left w:val="none" w:sz="0" w:space="0" w:color="auto"/>
        <w:bottom w:val="none" w:sz="0" w:space="0" w:color="auto"/>
        <w:right w:val="none" w:sz="0" w:space="0" w:color="auto"/>
      </w:divBdr>
    </w:div>
    <w:div w:id="179241310">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62667521">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96668742">
      <w:bodyDiv w:val="1"/>
      <w:marLeft w:val="0"/>
      <w:marRight w:val="0"/>
      <w:marTop w:val="0"/>
      <w:marBottom w:val="0"/>
      <w:divBdr>
        <w:top w:val="none" w:sz="0" w:space="0" w:color="auto"/>
        <w:left w:val="none" w:sz="0" w:space="0" w:color="auto"/>
        <w:bottom w:val="none" w:sz="0" w:space="0" w:color="auto"/>
        <w:right w:val="none" w:sz="0" w:space="0" w:color="auto"/>
      </w:divBdr>
    </w:div>
    <w:div w:id="1625770387">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867602016">
      <w:bodyDiv w:val="1"/>
      <w:marLeft w:val="0"/>
      <w:marRight w:val="0"/>
      <w:marTop w:val="0"/>
      <w:marBottom w:val="0"/>
      <w:divBdr>
        <w:top w:val="none" w:sz="0" w:space="0" w:color="auto"/>
        <w:left w:val="none" w:sz="0" w:space="0" w:color="auto"/>
        <w:bottom w:val="none" w:sz="0" w:space="0" w:color="auto"/>
        <w:right w:val="none" w:sz="0" w:space="0" w:color="auto"/>
      </w:divBdr>
    </w:div>
    <w:div w:id="196457776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1732595">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Gurung, Balkrishna (SOLS)</DisplayName>
        <AccountId>22</AccountId>
        <AccountType/>
      </UserInfo>
    </SharedWithUsers>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 C l o u d _ U K ! 2 1 8 7 1 7 9 8 0 . 3 < / d o c u m e n t i d >  
     < s e n d e r i d > 6 7 9 1 5 < / s e n d e r i d >  
     < s e n d e r e m a i l > J A M E S S O O K I A S @ E V E R S H E D S - S U T H E R L A N D . C O M < / s e n d e r e m a i l >  
     < l a s t m o d i f i e d > 2 0 2 3 - 1 0 - 3 1 T 0 8 : 5 5 : 0 0 . 0 0 0 0 0 0 0 + 0 0 : 0 0 < / l a s t m o d i f i e d >  
     < d a t a b a s e > C l o u d _ U K < / d a t a b a s e >  
 < / p r o p e r t i e s > 
</file>

<file path=customXml/itemProps1.xml><?xml version="1.0" encoding="utf-8"?>
<ds:datastoreItem xmlns:ds="http://schemas.openxmlformats.org/officeDocument/2006/customXml" ds:itemID="{DA9B5106-C894-4269-BE0A-11C21ADB4CC2}">
  <ds:schemaRefs>
    <ds:schemaRef ds:uri="http://schemas.microsoft.com/sharepoint/v3/contenttype/forms"/>
  </ds:schemaRefs>
</ds:datastoreItem>
</file>

<file path=customXml/itemProps2.xml><?xml version="1.0" encoding="utf-8"?>
<ds:datastoreItem xmlns:ds="http://schemas.openxmlformats.org/officeDocument/2006/customXml" ds:itemID="{27942740-1093-4B2F-97FE-09DB02C442C4}">
  <ds:schemaRef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97ce8a-9ab7-4832-a1d9-4e2709db39c7"/>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DDE8C9F-1D3D-4ACC-B282-210FEBE29539}">
  <ds:schemaRefs>
    <ds:schemaRef ds:uri="http://schemas.openxmlformats.org/officeDocument/2006/bibliography"/>
  </ds:schemaRefs>
</ds:datastoreItem>
</file>

<file path=customXml/itemProps4.xml><?xml version="1.0" encoding="utf-8"?>
<ds:datastoreItem xmlns:ds="http://schemas.openxmlformats.org/officeDocument/2006/customXml" ds:itemID="{89BB58D3-AC2B-49CE-BCB5-99C5676DA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BF3C00-25B2-41C6-AF5D-71AE8E4D4A9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814</Words>
  <Characters>4865</Characters>
  <Application>Microsoft Office Word</Application>
  <DocSecurity>0</DocSecurity>
  <Lines>40</Lines>
  <Paragraphs>11</Paragraphs>
  <ScaleCrop>false</ScaleCrop>
  <Manager/>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2024-06-04T17:26:00Z</dcterms:created>
  <dcterms:modified xsi:type="dcterms:W3CDTF">2025-07-14T15:46:00Z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2020-11-16T11:45:40Z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37c6da76-c30e-40c9-a6f3-b1badbe505fa</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12200</vt:r8>
  </property>
  <property fmtid="{D5CDD505-2E9C-101B-9397-08002B2CF9AE}" pid="12" name="iMDocLibrary">
    <vt:lpwstr>CLOUD_UK</vt:lpwstr>
  </property>
  <property fmtid="{D5CDD505-2E9C-101B-9397-08002B2CF9AE}" pid="13" name="iMDocNumber">
    <vt:lpwstr>218717980</vt:lpwstr>
  </property>
  <property fmtid="{D5CDD505-2E9C-101B-9397-08002B2CF9AE}" pid="14" name="iMDocVersion">
    <vt:lpwstr>1</vt:lpwstr>
  </property>
  <property fmtid="{D5CDD505-2E9C-101B-9397-08002B2CF9AE}" pid="15" name="iMDocID">
    <vt:lpwstr>CLOUD_UK\218717980\1</vt:lpwstr>
  </property>
  <property fmtid="{D5CDD505-2E9C-101B-9397-08002B2CF9AE}" pid="16" name="MediaServiceImageTags">
    <vt:lpwstr/>
  </property>
</Properties>
</file>